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F4645" w14:textId="3289D812" w:rsidR="00803B8B" w:rsidRPr="00C2635D" w:rsidRDefault="002F0DD5" w:rsidP="00206460">
      <w:pPr>
        <w:pStyle w:val="Kop2"/>
        <w:rPr>
          <w:lang w:eastAsia="en-US"/>
        </w:rPr>
      </w:pPr>
      <w:bookmarkStart w:id="0" w:name="_Toc42070827"/>
      <w:bookmarkStart w:id="1" w:name="_Toc53399338"/>
      <w:bookmarkStart w:id="2" w:name="_Toc111791853"/>
      <w:bookmarkStart w:id="3" w:name="_Toc111798510"/>
      <w:bookmarkStart w:id="4" w:name="_Toc111798842"/>
      <w:bookmarkStart w:id="5" w:name="_Toc185332138"/>
      <w:bookmarkStart w:id="6" w:name="_Toc413836808"/>
      <w:bookmarkStart w:id="7" w:name="_Toc413837127"/>
      <w:bookmarkStart w:id="8" w:name="_Toc413837899"/>
      <w:bookmarkStart w:id="9" w:name="_Toc495655445"/>
      <w:bookmarkStart w:id="10" w:name="_Toc413836811"/>
      <w:bookmarkStart w:id="11" w:name="_Toc413837130"/>
      <w:bookmarkStart w:id="12" w:name="_Toc413837902"/>
      <w:bookmarkStart w:id="13" w:name="_Toc477946807"/>
      <w:r>
        <w:rPr>
          <w:lang w:eastAsia="en-US"/>
        </w:rPr>
        <w:t>3</w:t>
      </w:r>
      <w:r w:rsidR="00803B8B" w:rsidRPr="00C2635D">
        <w:rPr>
          <w:lang w:eastAsia="en-US"/>
        </w:rPr>
        <w:t>.</w:t>
      </w:r>
      <w:r w:rsidR="001309F3">
        <w:rPr>
          <w:lang w:eastAsia="en-US"/>
        </w:rPr>
        <w:t>X</w:t>
      </w:r>
      <w:r w:rsidR="00803B8B" w:rsidRPr="00C2635D">
        <w:rPr>
          <w:lang w:eastAsia="en-US"/>
        </w:rPr>
        <w:t>.</w:t>
      </w:r>
      <w:r w:rsidR="00DA6561">
        <w:rPr>
          <w:lang w:eastAsia="en-US"/>
        </w:rPr>
        <w:t>X</w:t>
      </w:r>
      <w:r w:rsidR="00803B8B" w:rsidRPr="00C2635D">
        <w:rPr>
          <w:lang w:eastAsia="en-US"/>
        </w:rPr>
        <w:t xml:space="preserve"> </w:t>
      </w:r>
      <w:r w:rsidR="00803B8B" w:rsidRPr="00DB3043">
        <w:rPr>
          <w:rFonts w:cs="Arial"/>
          <w:bCs w:val="0"/>
          <w:i w:val="0"/>
          <w:iCs w:val="0"/>
          <w:szCs w:val="20"/>
          <w:lang w:eastAsia="en-US"/>
        </w:rPr>
        <w:t>Assurance</w:t>
      </w:r>
      <w:r w:rsidR="00803B8B" w:rsidRPr="00C2635D">
        <w:rPr>
          <w:lang w:eastAsia="en-US"/>
        </w:rPr>
        <w:t>-rapport</w:t>
      </w:r>
      <w:r>
        <w:rPr>
          <w:lang w:eastAsia="en-US"/>
        </w:rPr>
        <w:t xml:space="preserve"> </w:t>
      </w:r>
      <w:r w:rsidR="00DB3043">
        <w:rPr>
          <w:lang w:eastAsia="en-US"/>
        </w:rPr>
        <w:t>met beperkte mate van zekerheid bij de</w:t>
      </w:r>
      <w:r>
        <w:rPr>
          <w:lang w:eastAsia="en-US"/>
        </w:rPr>
        <w:t xml:space="preserve"> duurzaamheidsrapportering opgesteld in overeenstemming met CSRD / ESRS en Standaard 3810N</w:t>
      </w:r>
      <w:bookmarkEnd w:id="0"/>
      <w:bookmarkEnd w:id="1"/>
      <w:bookmarkEnd w:id="2"/>
      <w:bookmarkEnd w:id="3"/>
      <w:bookmarkEnd w:id="4"/>
      <w:bookmarkEnd w:id="5"/>
    </w:p>
    <w:p w14:paraId="44A2DF84" w14:textId="77777777" w:rsidR="00803B8B" w:rsidRPr="00C2635D" w:rsidRDefault="00803B8B" w:rsidP="001A439A">
      <w:pPr>
        <w:widowControl w:val="0"/>
        <w:rPr>
          <w:rFonts w:cs="Arial"/>
          <w:lang w:eastAsia="en-US"/>
        </w:rPr>
      </w:pPr>
    </w:p>
    <w:p w14:paraId="771907D1" w14:textId="77777777" w:rsidR="00E70869" w:rsidRPr="0014611A" w:rsidRDefault="00E70869" w:rsidP="00E70869">
      <w:pPr>
        <w:widowControl w:val="0"/>
        <w:rPr>
          <w:rFonts w:cs="Arial"/>
          <w:lang w:eastAsia="en-US"/>
        </w:rPr>
      </w:pPr>
      <w:r w:rsidRPr="0014611A">
        <w:rPr>
          <w:rFonts w:cs="Arial"/>
          <w:lang w:eastAsia="en-US"/>
        </w:rPr>
        <w:t xml:space="preserve">NB1: Deze voorbeeldtekst is gebaseerd op het concept Implementatiebesluit richtlijn duurzaamheidsrapportering en de concept Wet implementatie richtlijn duurzaamheidsrapportering. De voorbeeldtekst is bedoeld voor </w:t>
      </w:r>
      <w:proofErr w:type="spellStart"/>
      <w:r w:rsidRPr="0014611A">
        <w:rPr>
          <w:rFonts w:cs="Arial"/>
          <w:lang w:eastAsia="en-US"/>
        </w:rPr>
        <w:t>assurance</w:t>
      </w:r>
      <w:proofErr w:type="spellEnd"/>
      <w:r w:rsidRPr="0014611A">
        <w:rPr>
          <w:rFonts w:cs="Arial"/>
          <w:lang w:eastAsia="en-US"/>
        </w:rPr>
        <w:t xml:space="preserve"> bij duurzaamheidsverslaggeving opgesteld in overeenstemming met de Corporate </w:t>
      </w:r>
      <w:proofErr w:type="spellStart"/>
      <w:r w:rsidRPr="0014611A">
        <w:rPr>
          <w:rFonts w:cs="Arial"/>
          <w:lang w:eastAsia="en-US"/>
        </w:rPr>
        <w:t>Sustainability</w:t>
      </w:r>
      <w:proofErr w:type="spellEnd"/>
      <w:r w:rsidRPr="0014611A">
        <w:rPr>
          <w:rFonts w:cs="Arial"/>
          <w:lang w:eastAsia="en-US"/>
        </w:rPr>
        <w:t xml:space="preserve"> Reporting Directive (CSRD) en de European </w:t>
      </w:r>
      <w:proofErr w:type="spellStart"/>
      <w:r w:rsidRPr="0014611A">
        <w:rPr>
          <w:rFonts w:cs="Arial"/>
          <w:lang w:eastAsia="en-US"/>
        </w:rPr>
        <w:t>Sustainability</w:t>
      </w:r>
      <w:proofErr w:type="spellEnd"/>
      <w:r w:rsidRPr="0014611A">
        <w:rPr>
          <w:rFonts w:cs="Arial"/>
          <w:lang w:eastAsia="en-US"/>
        </w:rPr>
        <w:t xml:space="preserve"> Reporting Standards (ESRS).  </w:t>
      </w:r>
    </w:p>
    <w:p w14:paraId="7BB1C7AC" w14:textId="77777777" w:rsidR="00064B96" w:rsidRPr="00064B96" w:rsidRDefault="00064B96" w:rsidP="00064B96">
      <w:pPr>
        <w:widowControl w:val="0"/>
        <w:rPr>
          <w:rFonts w:cs="Arial"/>
          <w:lang w:eastAsia="en-US"/>
        </w:rPr>
      </w:pPr>
    </w:p>
    <w:p w14:paraId="76352D78" w14:textId="28B087D7" w:rsidR="0096392A" w:rsidRPr="0014611A" w:rsidRDefault="0096392A" w:rsidP="0096392A">
      <w:pPr>
        <w:rPr>
          <w:rFonts w:cs="Arial"/>
        </w:rPr>
      </w:pPr>
      <w:r w:rsidRPr="0014611A">
        <w:rPr>
          <w:rFonts w:cs="Arial"/>
        </w:rPr>
        <w:t>NB2: Deze voorbeeldtekst is gebaseerd op de herziene Standaard 3810N ‘Assurance-opdrachten inzake duurzaamheidsverslaggeving’ zoals uitgebracht door de NBA in 2022. Deze is van toepassing op duurzaamheids</w:t>
      </w:r>
      <w:r w:rsidR="000B479E">
        <w:rPr>
          <w:rFonts w:cs="Arial"/>
        </w:rPr>
        <w:t>rapportering</w:t>
      </w:r>
      <w:r w:rsidRPr="0014611A">
        <w:rPr>
          <w:rFonts w:cs="Arial"/>
        </w:rPr>
        <w:t xml:space="preserve"> over verslagjaren eindigend op 15 december 2023 of daarna. </w:t>
      </w:r>
    </w:p>
    <w:p w14:paraId="0F38B4AC" w14:textId="77777777" w:rsidR="00064B96" w:rsidRPr="00C2635D" w:rsidRDefault="00064B96" w:rsidP="00064B96">
      <w:pPr>
        <w:widowControl w:val="0"/>
        <w:rPr>
          <w:rFonts w:cs="Arial"/>
          <w:lang w:eastAsia="en-US"/>
        </w:rPr>
      </w:pPr>
    </w:p>
    <w:p w14:paraId="19A675C1" w14:textId="77777777" w:rsidR="00691ABE" w:rsidRPr="0014611A" w:rsidRDefault="00691ABE" w:rsidP="00691ABE">
      <w:pPr>
        <w:rPr>
          <w:rFonts w:cs="Arial"/>
        </w:rPr>
      </w:pPr>
      <w:r w:rsidRPr="0014611A">
        <w:rPr>
          <w:rFonts w:cs="Arial"/>
        </w:rPr>
        <w:t>NB3: Voor deze voorbeeldrapportage zijn de volgende opties verwerkt:</w:t>
      </w:r>
    </w:p>
    <w:p w14:paraId="22002B61" w14:textId="77777777" w:rsidR="00691ABE" w:rsidRPr="001309F3" w:rsidRDefault="00691ABE" w:rsidP="00DE7732">
      <w:pPr>
        <w:widowControl w:val="0"/>
        <w:numPr>
          <w:ilvl w:val="0"/>
          <w:numId w:val="41"/>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een raad van commissarissen of soortgelijk orgaan die verantwoordelijkheid heeft voor het toezicht op de totstandkoming van het opdrachtobject.</w:t>
      </w:r>
    </w:p>
    <w:p w14:paraId="7B8CFFE7" w14:textId="77777777" w:rsidR="00691ABE" w:rsidRPr="001309F3" w:rsidRDefault="00691ABE" w:rsidP="00DE7732">
      <w:pPr>
        <w:widowControl w:val="0"/>
        <w:numPr>
          <w:ilvl w:val="0"/>
          <w:numId w:val="41"/>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sprake van een groep.</w:t>
      </w:r>
    </w:p>
    <w:p w14:paraId="6B422EB0" w14:textId="700989BA" w:rsidR="00691ABE" w:rsidRPr="001309F3" w:rsidRDefault="00691ABE" w:rsidP="00DE7732">
      <w:pPr>
        <w:widowControl w:val="0"/>
        <w:numPr>
          <w:ilvl w:val="0"/>
          <w:numId w:val="41"/>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Het bestuur heeft geen keuze bij de bepaling van de criteria, behalve voor eventuele relevante </w:t>
      </w:r>
      <w:proofErr w:type="spellStart"/>
      <w:r w:rsidRPr="001309F3">
        <w:rPr>
          <w:rFonts w:eastAsia="Calibri" w:cs="Arial"/>
          <w:lang w:eastAsia="en-US"/>
        </w:rPr>
        <w:t>entiteitspecifieke</w:t>
      </w:r>
      <w:proofErr w:type="spellEnd"/>
      <w:r w:rsidRPr="001309F3">
        <w:rPr>
          <w:rFonts w:eastAsia="Calibri" w:cs="Arial"/>
          <w:lang w:eastAsia="en-US"/>
        </w:rPr>
        <w:t xml:space="preserve"> standaarden zoals ESRS ook voorschrijft. De toelichting daarop dient opgenomen te zijn in de duurzaamheids</w:t>
      </w:r>
      <w:r w:rsidR="000B6718">
        <w:rPr>
          <w:rFonts w:eastAsia="Calibri" w:cs="Arial"/>
          <w:lang w:eastAsia="en-US"/>
        </w:rPr>
        <w:t>rapportering</w:t>
      </w:r>
      <w:r w:rsidRPr="001309F3">
        <w:rPr>
          <w:rFonts w:eastAsia="Calibri" w:cs="Arial"/>
          <w:lang w:eastAsia="en-US"/>
        </w:rPr>
        <w:t>.</w:t>
      </w:r>
    </w:p>
    <w:p w14:paraId="6505F3D2" w14:textId="77777777" w:rsidR="00691ABE" w:rsidRPr="001309F3" w:rsidRDefault="00691ABE" w:rsidP="00DE7732">
      <w:pPr>
        <w:widowControl w:val="0"/>
        <w:numPr>
          <w:ilvl w:val="0"/>
          <w:numId w:val="41"/>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In de rapportage kan de accountant kernpunten van de </w:t>
      </w:r>
      <w:proofErr w:type="spellStart"/>
      <w:r w:rsidRPr="001309F3">
        <w:rPr>
          <w:rFonts w:eastAsia="Calibri" w:cs="Arial"/>
          <w:lang w:eastAsia="en-US"/>
        </w:rPr>
        <w:t>assurance</w:t>
      </w:r>
      <w:proofErr w:type="spellEnd"/>
      <w:r w:rsidRPr="001309F3">
        <w:rPr>
          <w:rFonts w:eastAsia="Calibri" w:cs="Arial"/>
          <w:lang w:eastAsia="en-US"/>
        </w:rPr>
        <w:t xml:space="preserve">-opdracht opnemen. NBA raadt het opnemen hiervan bij een </w:t>
      </w:r>
      <w:proofErr w:type="spellStart"/>
      <w:r w:rsidRPr="001309F3">
        <w:rPr>
          <w:rFonts w:eastAsia="Calibri" w:cs="Arial"/>
          <w:lang w:eastAsia="en-US"/>
        </w:rPr>
        <w:t>assurance</w:t>
      </w:r>
      <w:proofErr w:type="spellEnd"/>
      <w:r w:rsidRPr="001309F3">
        <w:rPr>
          <w:rFonts w:eastAsia="Calibri" w:cs="Arial"/>
          <w:lang w:eastAsia="en-US"/>
        </w:rPr>
        <w:t>-rapport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3067B00F" w14:textId="428230A4" w:rsidR="00691ABE" w:rsidRPr="001309F3" w:rsidRDefault="00691ABE" w:rsidP="00DE7732">
      <w:pPr>
        <w:widowControl w:val="0"/>
        <w:numPr>
          <w:ilvl w:val="0"/>
          <w:numId w:val="41"/>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Er wordt beperkte mate van zekerheid bij </w:t>
      </w:r>
      <w:r w:rsidR="00C13972">
        <w:rPr>
          <w:rFonts w:eastAsia="Calibri" w:cs="Arial"/>
          <w:lang w:eastAsia="en-US"/>
        </w:rPr>
        <w:t>het</w:t>
      </w:r>
      <w:r w:rsidR="00C13972" w:rsidRPr="001309F3">
        <w:rPr>
          <w:rFonts w:eastAsia="Calibri" w:cs="Arial"/>
          <w:lang w:eastAsia="en-US"/>
        </w:rPr>
        <w:t xml:space="preserve"> duurzaamheids</w:t>
      </w:r>
      <w:r w:rsidR="00C13972">
        <w:rPr>
          <w:rFonts w:eastAsia="Calibri" w:cs="Arial"/>
          <w:lang w:eastAsia="en-US"/>
        </w:rPr>
        <w:t>verslag</w:t>
      </w:r>
      <w:r w:rsidR="00C13972" w:rsidRPr="001309F3">
        <w:rPr>
          <w:rFonts w:eastAsia="Calibri" w:cs="Arial"/>
          <w:lang w:eastAsia="en-US"/>
        </w:rPr>
        <w:t xml:space="preserve"> </w:t>
      </w:r>
      <w:r w:rsidRPr="001309F3">
        <w:rPr>
          <w:rFonts w:eastAsia="Calibri" w:cs="Arial"/>
          <w:lang w:eastAsia="en-US"/>
        </w:rPr>
        <w:t>gegeven.</w:t>
      </w:r>
    </w:p>
    <w:p w14:paraId="14D9F117" w14:textId="77777777" w:rsidR="00691ABE" w:rsidRPr="001309F3" w:rsidRDefault="00691ABE" w:rsidP="00DE7732">
      <w:pPr>
        <w:widowControl w:val="0"/>
        <w:numPr>
          <w:ilvl w:val="0"/>
          <w:numId w:val="41"/>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Er is uitgegaan van de ESRS als algeheel rapportageraamwerk. </w:t>
      </w:r>
    </w:p>
    <w:p w14:paraId="0802B755" w14:textId="77777777" w:rsidR="00691ABE" w:rsidRPr="001309F3" w:rsidRDefault="00691ABE" w:rsidP="00DE7732">
      <w:pPr>
        <w:widowControl w:val="0"/>
        <w:numPr>
          <w:ilvl w:val="0"/>
          <w:numId w:val="41"/>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geen aanleiding om te rapporteren over andere informatie.</w:t>
      </w:r>
    </w:p>
    <w:p w14:paraId="6B3FDF4A" w14:textId="77777777" w:rsidR="00691ABE" w:rsidRPr="0014611A" w:rsidRDefault="00691ABE" w:rsidP="00691ABE">
      <w:pPr>
        <w:spacing w:line="278" w:lineRule="auto"/>
        <w:rPr>
          <w:rFonts w:cs="Arial"/>
        </w:rPr>
      </w:pPr>
    </w:p>
    <w:p w14:paraId="2FFDA9D9" w14:textId="4051A8E2" w:rsidR="00401A7E" w:rsidRPr="0014611A" w:rsidRDefault="00401A7E" w:rsidP="00B04107">
      <w:pPr>
        <w:rPr>
          <w:rFonts w:cs="Arial"/>
        </w:rPr>
      </w:pPr>
      <w:r w:rsidRPr="0014611A">
        <w:rPr>
          <w:rFonts w:cs="Arial"/>
        </w:rPr>
        <w:t>NB4: In dit voorbeeld zijn drie optionele benadrukkingsparagrafen (</w:t>
      </w:r>
      <w:proofErr w:type="spellStart"/>
      <w:r w:rsidRPr="0014611A">
        <w:rPr>
          <w:rFonts w:cs="Arial"/>
        </w:rPr>
        <w:t>Emphasis</w:t>
      </w:r>
      <w:proofErr w:type="spellEnd"/>
      <w:r w:rsidRPr="0014611A">
        <w:rPr>
          <w:rFonts w:cs="Arial"/>
        </w:rPr>
        <w:t xml:space="preserve"> of Matter) opgenomen omtrent de context van nieuwe duurzaamheidsrapporteringsstandaarden, significante onzekerheden (ESRS 2.11 en 1.88) en de DMA (ESRS2 DR IRO-1). Hierbij is verondersteld dat wat geduid wordt in de voorbeeldtekst is toegelicht in het </w:t>
      </w:r>
      <w:proofErr w:type="spellStart"/>
      <w:r w:rsidRPr="0014611A">
        <w:rPr>
          <w:rFonts w:cs="Arial"/>
        </w:rPr>
        <w:t>sustainability</w:t>
      </w:r>
      <w:proofErr w:type="spellEnd"/>
      <w:r w:rsidRPr="0014611A">
        <w:rPr>
          <w:rFonts w:cs="Arial"/>
        </w:rPr>
        <w:t xml:space="preserve"> statement. De voorbeeldtekst dient waar relevant </w:t>
      </w:r>
      <w:proofErr w:type="spellStart"/>
      <w:r w:rsidRPr="0014611A">
        <w:rPr>
          <w:rFonts w:cs="Arial"/>
        </w:rPr>
        <w:t>cliëntspecifiek</w:t>
      </w:r>
      <w:proofErr w:type="spellEnd"/>
      <w:r w:rsidRPr="0014611A">
        <w:rPr>
          <w:rFonts w:cs="Arial"/>
        </w:rPr>
        <w:t xml:space="preserve"> te worden gemaakt.</w:t>
      </w:r>
    </w:p>
    <w:p w14:paraId="7CE02D05" w14:textId="77777777" w:rsidR="00292D46" w:rsidRDefault="00292D46" w:rsidP="00292D46">
      <w:pPr>
        <w:rPr>
          <w:rFonts w:cs="Arial"/>
        </w:rPr>
      </w:pPr>
    </w:p>
    <w:p w14:paraId="7B5AC38A" w14:textId="2C363D94" w:rsidR="00292D46" w:rsidRDefault="00292D46" w:rsidP="00292D46">
      <w:pPr>
        <w:rPr>
          <w:rFonts w:cs="Arial"/>
        </w:rPr>
      </w:pPr>
      <w:r w:rsidRPr="0014611A">
        <w:rPr>
          <w:rFonts w:cs="Arial"/>
        </w:rPr>
        <w:t>NB5</w:t>
      </w:r>
      <w:r>
        <w:rPr>
          <w:rFonts w:cs="Arial"/>
        </w:rPr>
        <w:t xml:space="preserve">: </w:t>
      </w:r>
      <w:r w:rsidRPr="0014611A">
        <w:rPr>
          <w:rFonts w:cs="Arial"/>
        </w:rPr>
        <w:t xml:space="preserve">Indien de cliënt de volgende passages achterwege laat uit het duurzaamheidsverslag en de accountant ze daardoor niet kan benadrukken in het </w:t>
      </w:r>
      <w:proofErr w:type="spellStart"/>
      <w:r w:rsidRPr="0014611A">
        <w:rPr>
          <w:rFonts w:cs="Arial"/>
        </w:rPr>
        <w:t>assurance</w:t>
      </w:r>
      <w:proofErr w:type="spellEnd"/>
      <w:r w:rsidRPr="0014611A">
        <w:rPr>
          <w:rFonts w:cs="Arial"/>
        </w:rPr>
        <w:t xml:space="preserve">-rapport, kan de accountant deze passages opnemen in een overige-aangelegenhedenparagraaf, onder bijvoorbeeld </w:t>
      </w:r>
      <w:r w:rsidR="002D1BE9">
        <w:rPr>
          <w:rFonts w:cs="Arial"/>
        </w:rPr>
        <w:t>‘</w:t>
      </w:r>
      <w:r w:rsidRPr="0014611A">
        <w:rPr>
          <w:rFonts w:cs="Arial"/>
        </w:rPr>
        <w:t xml:space="preserve">Inherent </w:t>
      </w:r>
      <w:proofErr w:type="spellStart"/>
      <w:r w:rsidRPr="0014611A">
        <w:rPr>
          <w:rFonts w:cs="Arial"/>
        </w:rPr>
        <w:t>limitations</w:t>
      </w:r>
      <w:proofErr w:type="spellEnd"/>
      <w:r w:rsidR="002D1BE9">
        <w:rPr>
          <w:rFonts w:cs="Arial"/>
        </w:rPr>
        <w:t>’</w:t>
      </w:r>
      <w:r w:rsidRPr="0014611A">
        <w:rPr>
          <w:rFonts w:cs="Arial"/>
        </w:rPr>
        <w:t xml:space="preserve"> als onderdeel van </w:t>
      </w:r>
      <w:proofErr w:type="spellStart"/>
      <w:r w:rsidRPr="0014611A">
        <w:rPr>
          <w:rFonts w:cs="Arial"/>
        </w:rPr>
        <w:t>Limitations</w:t>
      </w:r>
      <w:proofErr w:type="spellEnd"/>
      <w:r w:rsidRPr="0014611A">
        <w:rPr>
          <w:rFonts w:cs="Arial"/>
        </w:rPr>
        <w:t xml:space="preserve"> of </w:t>
      </w:r>
      <w:proofErr w:type="spellStart"/>
      <w:r w:rsidRPr="0014611A">
        <w:rPr>
          <w:rFonts w:cs="Arial"/>
        </w:rPr>
        <w:t>the</w:t>
      </w:r>
      <w:proofErr w:type="spellEnd"/>
      <w:r w:rsidRPr="0014611A">
        <w:rPr>
          <w:rFonts w:cs="Arial"/>
        </w:rPr>
        <w:t xml:space="preserve"> scope of </w:t>
      </w:r>
      <w:proofErr w:type="spellStart"/>
      <w:r w:rsidRPr="0014611A">
        <w:rPr>
          <w:rFonts w:cs="Arial"/>
        </w:rPr>
        <w:t>our</w:t>
      </w:r>
      <w:proofErr w:type="spellEnd"/>
      <w:r w:rsidRPr="0014611A">
        <w:rPr>
          <w:rFonts w:cs="Arial"/>
        </w:rPr>
        <w:t xml:space="preserve"> </w:t>
      </w:r>
      <w:proofErr w:type="spellStart"/>
      <w:r w:rsidRPr="0014611A">
        <w:rPr>
          <w:rFonts w:cs="Arial"/>
        </w:rPr>
        <w:t>assurance</w:t>
      </w:r>
      <w:proofErr w:type="spellEnd"/>
      <w:r w:rsidRPr="0014611A">
        <w:rPr>
          <w:rFonts w:cs="Arial"/>
        </w:rPr>
        <w:t xml:space="preserve"> engagement:</w:t>
      </w:r>
    </w:p>
    <w:p w14:paraId="640C8EB3" w14:textId="4011489F" w:rsidR="00292D46" w:rsidRDefault="00292D46" w:rsidP="003A07CE">
      <w:pPr>
        <w:numPr>
          <w:ilvl w:val="0"/>
          <w:numId w:val="98"/>
        </w:numPr>
        <w:rPr>
          <w:rFonts w:cs="Arial"/>
          <w:lang w:val="en-GB"/>
        </w:rPr>
      </w:pPr>
      <w:r w:rsidRPr="0014611A">
        <w:rPr>
          <w:rFonts w:cs="Arial"/>
          <w:lang w:val="en-GB"/>
        </w:rPr>
        <w:t>The comparability of sustainability information between entities and over time may be affected by the lack of historical sustainability information in accordance with the ESRS and by the absence of a uniform practice on which to draw, to evaluate and measure this information. This allows for the application of different, but acceptable, measurement techniques, especially in the initial years.</w:t>
      </w:r>
    </w:p>
    <w:p w14:paraId="17E43EAF" w14:textId="0968C814" w:rsidR="00206F73" w:rsidRPr="0014611A" w:rsidRDefault="00F46D30" w:rsidP="003A07CE">
      <w:pPr>
        <w:numPr>
          <w:ilvl w:val="0"/>
          <w:numId w:val="98"/>
        </w:numPr>
        <w:rPr>
          <w:rFonts w:cs="Arial"/>
          <w:lang w:val="en-GB"/>
        </w:rPr>
      </w:pPr>
      <w:r w:rsidRPr="00F46D30">
        <w:rPr>
          <w:rFonts w:cs="Arial"/>
          <w:lang w:val="en-GB"/>
        </w:rPr>
        <w:t>the sustainability statement may not include every impact, risk and opportunity or additional entity-specific disclosure that each individual stakeholder (group) may consider important in its own particular assessment.</w:t>
      </w:r>
    </w:p>
    <w:p w14:paraId="120E9603" w14:textId="77777777" w:rsidR="00777230" w:rsidRPr="00292D46" w:rsidRDefault="00777230" w:rsidP="000065A5">
      <w:pPr>
        <w:widowControl w:val="0"/>
        <w:pBdr>
          <w:bottom w:val="single" w:sz="6" w:space="1" w:color="auto"/>
        </w:pBdr>
        <w:rPr>
          <w:rFonts w:cs="Arial"/>
          <w:lang w:val="en-US" w:eastAsia="en-US"/>
        </w:rPr>
      </w:pPr>
    </w:p>
    <w:p w14:paraId="5757FF8E" w14:textId="77777777" w:rsidR="00803B8B" w:rsidRPr="00292D46" w:rsidRDefault="00803B8B" w:rsidP="001A439A">
      <w:pPr>
        <w:widowControl w:val="0"/>
        <w:overflowPunct w:val="0"/>
        <w:autoSpaceDE w:val="0"/>
        <w:autoSpaceDN w:val="0"/>
        <w:adjustRightInd w:val="0"/>
        <w:textAlignment w:val="baseline"/>
        <w:rPr>
          <w:rFonts w:cs="Arial"/>
          <w:lang w:val="en-US" w:eastAsia="en-US"/>
        </w:rPr>
      </w:pPr>
    </w:p>
    <w:p w14:paraId="65F3BF1A" w14:textId="37229DF9" w:rsidR="00803B8B" w:rsidRPr="00C2635D" w:rsidRDefault="002B67A9" w:rsidP="001A439A">
      <w:pPr>
        <w:widowControl w:val="0"/>
        <w:overflowPunct w:val="0"/>
        <w:autoSpaceDE w:val="0"/>
        <w:autoSpaceDN w:val="0"/>
        <w:adjustRightInd w:val="0"/>
        <w:textAlignment w:val="baseline"/>
        <w:rPr>
          <w:rFonts w:eastAsia="Calibri" w:cs="Arial"/>
          <w:b/>
          <w:caps/>
          <w:lang w:val="en-US"/>
        </w:rPr>
      </w:pPr>
      <w:r>
        <w:rPr>
          <w:rFonts w:eastAsia="Calibri" w:cs="Arial"/>
          <w:b/>
          <w:caps/>
          <w:lang w:val="en-US"/>
        </w:rPr>
        <w:t>LIMITED</w:t>
      </w:r>
      <w:r w:rsidR="00432054" w:rsidRPr="00432054">
        <w:rPr>
          <w:rFonts w:eastAsia="Calibri" w:cs="Arial"/>
          <w:b/>
          <w:caps/>
          <w:lang w:val="en-US"/>
        </w:rPr>
        <w:t xml:space="preserve"> </w:t>
      </w:r>
      <w:r w:rsidR="00803B8B" w:rsidRPr="00C2635D">
        <w:rPr>
          <w:rFonts w:eastAsia="Calibri" w:cs="Arial"/>
          <w:b/>
          <w:caps/>
          <w:lang w:val="en-US"/>
        </w:rPr>
        <w:t>Assurance report of the independent auditor</w:t>
      </w:r>
      <w:r w:rsidR="00432054">
        <w:rPr>
          <w:rFonts w:eastAsia="Calibri" w:cs="Arial"/>
          <w:b/>
          <w:caps/>
          <w:lang w:val="en-US"/>
        </w:rPr>
        <w:t xml:space="preserve"> </w:t>
      </w:r>
      <w:r w:rsidR="00432054" w:rsidRPr="00432054">
        <w:rPr>
          <w:rFonts w:eastAsia="Calibri" w:cs="Arial"/>
          <w:b/>
          <w:caps/>
          <w:lang w:val="en-US"/>
        </w:rPr>
        <w:t xml:space="preserve">ON </w:t>
      </w:r>
      <w:r w:rsidR="009C1BDA">
        <w:rPr>
          <w:rFonts w:eastAsia="Calibri" w:cs="Arial"/>
          <w:b/>
          <w:caps/>
          <w:lang w:val="en-US"/>
        </w:rPr>
        <w:t xml:space="preserve">THE </w:t>
      </w:r>
      <w:r w:rsidR="00432054" w:rsidRPr="00432054">
        <w:rPr>
          <w:rFonts w:eastAsia="Calibri" w:cs="Arial"/>
          <w:b/>
          <w:caps/>
          <w:lang w:val="en-US"/>
        </w:rPr>
        <w:t>SUSTAINABIL</w:t>
      </w:r>
      <w:r w:rsidR="00184BBC">
        <w:rPr>
          <w:rFonts w:eastAsia="Calibri" w:cs="Arial"/>
          <w:b/>
          <w:caps/>
          <w:lang w:val="en-US"/>
        </w:rPr>
        <w:t>I</w:t>
      </w:r>
      <w:r w:rsidR="00432054" w:rsidRPr="00432054">
        <w:rPr>
          <w:rFonts w:eastAsia="Calibri" w:cs="Arial"/>
          <w:b/>
          <w:caps/>
          <w:lang w:val="en-US"/>
        </w:rPr>
        <w:t xml:space="preserve">TY </w:t>
      </w:r>
      <w:r>
        <w:rPr>
          <w:rFonts w:eastAsia="Calibri" w:cs="Arial"/>
          <w:b/>
          <w:caps/>
          <w:lang w:val="en-US"/>
        </w:rPr>
        <w:t>STATEMENT</w:t>
      </w:r>
      <w:r w:rsidR="00AC0F64" w:rsidRPr="00C2635D">
        <w:rPr>
          <w:rFonts w:cs="Arial"/>
          <w:vertAlign w:val="superscript"/>
          <w:lang w:val="en-US" w:eastAsia="en-US"/>
        </w:rPr>
        <w:footnoteReference w:id="2"/>
      </w:r>
    </w:p>
    <w:p w14:paraId="52F74473"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309E137" w14:textId="474D11A3" w:rsidR="00803B8B" w:rsidRPr="00C2635D" w:rsidRDefault="00803B8B" w:rsidP="001A439A">
      <w:pPr>
        <w:widowControl w:val="0"/>
        <w:rPr>
          <w:rFonts w:cs="Arial"/>
          <w:lang w:val="en-GB" w:eastAsia="en-US"/>
        </w:rPr>
      </w:pPr>
      <w:r w:rsidRPr="00C2635D">
        <w:rPr>
          <w:rFonts w:cs="Arial"/>
          <w:lang w:val="en-GB" w:eastAsia="en-US"/>
        </w:rPr>
        <w:t xml:space="preserve">To: </w:t>
      </w:r>
      <w:r w:rsidR="00D1268B" w:rsidRPr="0014611A">
        <w:rPr>
          <w:rFonts w:cs="Arial"/>
          <w:lang w:val="en-GB"/>
        </w:rPr>
        <w:t>The shareholders</w:t>
      </w:r>
      <w:r w:rsidR="00D1268B" w:rsidRPr="0014611A">
        <w:rPr>
          <w:rStyle w:val="Voetnootmarkering"/>
          <w:rFonts w:eastAsia="Calibri" w:cs="Arial"/>
          <w:lang w:val="en-GB"/>
        </w:rPr>
        <w:footnoteReference w:id="3"/>
      </w:r>
      <w:r w:rsidR="00D1268B" w:rsidRPr="0014611A">
        <w:rPr>
          <w:rFonts w:cs="Arial"/>
          <w:lang w:val="en-GB"/>
        </w:rPr>
        <w:t xml:space="preserve"> (and Supervisory Board) of (</w:t>
      </w:r>
      <w:r w:rsidR="00D1268B" w:rsidRPr="0014611A">
        <w:rPr>
          <w:rFonts w:cs="Arial"/>
          <w:i/>
          <w:iCs/>
          <w:lang w:val="en-GB"/>
        </w:rPr>
        <w:t xml:space="preserve">naam </w:t>
      </w:r>
      <w:proofErr w:type="spellStart"/>
      <w:r w:rsidR="00D1268B" w:rsidRPr="0014611A">
        <w:rPr>
          <w:rFonts w:cs="Arial"/>
          <w:i/>
          <w:iCs/>
          <w:lang w:val="en-GB"/>
        </w:rPr>
        <w:t>entiteit</w:t>
      </w:r>
      <w:proofErr w:type="spellEnd"/>
      <w:r w:rsidR="00D1268B" w:rsidRPr="0014611A">
        <w:rPr>
          <w:rFonts w:cs="Arial"/>
          <w:lang w:val="en-GB"/>
        </w:rPr>
        <w:t xml:space="preserve">)  </w:t>
      </w:r>
    </w:p>
    <w:p w14:paraId="5D11FB55"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15E3CB91" w14:textId="3CFF7BD0" w:rsidR="00803B8B" w:rsidRPr="00C2635D" w:rsidRDefault="00803B8B" w:rsidP="001A439A">
      <w:pPr>
        <w:widowControl w:val="0"/>
        <w:rPr>
          <w:rFonts w:cs="Arial"/>
          <w:lang w:val="en-GB" w:eastAsia="en-US"/>
        </w:rPr>
      </w:pPr>
      <w:r w:rsidRPr="00C2635D">
        <w:rPr>
          <w:rFonts w:cs="Arial"/>
          <w:b/>
          <w:lang w:val="en-GB" w:eastAsia="en-US"/>
        </w:rPr>
        <w:t>Our</w:t>
      </w:r>
      <w:r w:rsidRPr="00C2635D">
        <w:rPr>
          <w:rFonts w:cs="Arial"/>
          <w:lang w:val="en-GB" w:eastAsia="en-US"/>
        </w:rPr>
        <w:t xml:space="preserve"> </w:t>
      </w:r>
      <w:r w:rsidR="008A3AC8">
        <w:rPr>
          <w:rFonts w:cs="Arial"/>
          <w:b/>
          <w:lang w:val="en-GB" w:eastAsia="en-US"/>
        </w:rPr>
        <w:t>conclusion</w:t>
      </w:r>
    </w:p>
    <w:p w14:paraId="3F4303DE" w14:textId="60C57A70" w:rsidR="00B21568" w:rsidRPr="00CB4656" w:rsidRDefault="00B21568" w:rsidP="4F66E111">
      <w:pPr>
        <w:widowControl w:val="0"/>
        <w:rPr>
          <w:rFonts w:cs="Arial"/>
          <w:lang w:val="en-GB" w:eastAsia="en-US"/>
        </w:rPr>
      </w:pPr>
      <w:r w:rsidRPr="00CB4656">
        <w:rPr>
          <w:rFonts w:cs="Arial"/>
          <w:lang w:val="en-GB" w:eastAsia="en-US"/>
        </w:rPr>
        <w:t xml:space="preserve">We have performed a limited assurance engagement on the (consolidated) sustainability statement for YYYY (of </w:t>
      </w:r>
      <w:proofErr w:type="spellStart"/>
      <w:r w:rsidRPr="00CB4656">
        <w:rPr>
          <w:rFonts w:cs="Arial"/>
          <w:lang w:val="en-GB" w:eastAsia="en-US"/>
        </w:rPr>
        <w:t>voor</w:t>
      </w:r>
      <w:proofErr w:type="spellEnd"/>
      <w:r w:rsidRPr="00CB4656">
        <w:rPr>
          <w:rFonts w:cs="Arial"/>
          <w:lang w:val="en-GB" w:eastAsia="en-US"/>
        </w:rPr>
        <w:t xml:space="preserve"> </w:t>
      </w:r>
      <w:proofErr w:type="spellStart"/>
      <w:r w:rsidRPr="00CB4656">
        <w:rPr>
          <w:rFonts w:cs="Arial"/>
          <w:lang w:val="en-GB" w:eastAsia="en-US"/>
        </w:rPr>
        <w:t>een</w:t>
      </w:r>
      <w:proofErr w:type="spellEnd"/>
      <w:r w:rsidRPr="00CB4656">
        <w:rPr>
          <w:rFonts w:cs="Arial"/>
          <w:lang w:val="en-GB" w:eastAsia="en-US"/>
        </w:rPr>
        <w:t xml:space="preserve"> </w:t>
      </w:r>
      <w:proofErr w:type="spellStart"/>
      <w:r w:rsidRPr="00CB4656">
        <w:rPr>
          <w:rFonts w:cs="Arial"/>
          <w:lang w:val="en-GB" w:eastAsia="en-US"/>
        </w:rPr>
        <w:t>gebroken</w:t>
      </w:r>
      <w:proofErr w:type="spellEnd"/>
      <w:r w:rsidRPr="00CB4656">
        <w:rPr>
          <w:rFonts w:cs="Arial"/>
          <w:lang w:val="en-GB" w:eastAsia="en-US"/>
        </w:rPr>
        <w:t xml:space="preserve"> </w:t>
      </w:r>
      <w:proofErr w:type="spellStart"/>
      <w:r w:rsidRPr="00CB4656">
        <w:rPr>
          <w:rFonts w:cs="Arial"/>
          <w:lang w:val="en-GB" w:eastAsia="en-US"/>
        </w:rPr>
        <w:t>boekjaar</w:t>
      </w:r>
      <w:proofErr w:type="spellEnd"/>
      <w:r w:rsidRPr="00CB4656">
        <w:rPr>
          <w:rFonts w:cs="Arial"/>
          <w:lang w:val="en-GB" w:eastAsia="en-US"/>
        </w:rPr>
        <w:t xml:space="preserve">: for the year ended 30 June YYYY) of … (naam </w:t>
      </w:r>
      <w:proofErr w:type="spellStart"/>
      <w:r w:rsidRPr="00CB4656">
        <w:rPr>
          <w:rFonts w:cs="Arial"/>
          <w:lang w:val="en-GB" w:eastAsia="en-US"/>
        </w:rPr>
        <w:t>entiteit</w:t>
      </w:r>
      <w:proofErr w:type="spellEnd"/>
      <w:r w:rsidRPr="00CB4656">
        <w:rPr>
          <w:rFonts w:cs="Arial"/>
          <w:lang w:val="en-GB" w:eastAsia="en-US"/>
        </w:rPr>
        <w:t xml:space="preserve">) based in </w:t>
      </w:r>
      <w:r w:rsidRPr="00CB4656">
        <w:rPr>
          <w:rFonts w:cs="Arial"/>
          <w:lang w:val="en-GB" w:eastAsia="en-US"/>
        </w:rPr>
        <w:lastRenderedPageBreak/>
        <w:t>(</w:t>
      </w:r>
      <w:r w:rsidR="005A63F5" w:rsidRPr="00CB4656">
        <w:rPr>
          <w:rFonts w:cs="Arial"/>
          <w:lang w:val="en-GB" w:eastAsia="en-US"/>
        </w:rPr>
        <w:t>(</w:t>
      </w:r>
      <w:proofErr w:type="spellStart"/>
      <w:r w:rsidRPr="00CB4656">
        <w:rPr>
          <w:rFonts w:cs="Arial"/>
          <w:lang w:val="en-GB" w:eastAsia="en-US"/>
        </w:rPr>
        <w:t>statutaire</w:t>
      </w:r>
      <w:proofErr w:type="spellEnd"/>
      <w:r w:rsidR="005A63F5" w:rsidRPr="00CB4656">
        <w:rPr>
          <w:rFonts w:cs="Arial"/>
          <w:lang w:val="en-GB" w:eastAsia="en-US"/>
        </w:rPr>
        <w:t>)</w:t>
      </w:r>
      <w:r w:rsidRPr="00CB4656">
        <w:rPr>
          <w:rFonts w:cs="Arial"/>
          <w:lang w:val="en-GB" w:eastAsia="en-US"/>
        </w:rPr>
        <w:t xml:space="preserve"> </w:t>
      </w:r>
      <w:proofErr w:type="spellStart"/>
      <w:r w:rsidRPr="00CB4656">
        <w:rPr>
          <w:rFonts w:cs="Arial"/>
          <w:lang w:val="en-GB" w:eastAsia="en-US"/>
        </w:rPr>
        <w:t>vestigingsplaats</w:t>
      </w:r>
      <w:proofErr w:type="spellEnd"/>
      <w:r w:rsidRPr="00CB4656">
        <w:rPr>
          <w:rFonts w:cs="Arial"/>
          <w:lang w:val="en-GB" w:eastAsia="en-US"/>
        </w:rPr>
        <w:t>) (hereinafter: the company) in section  (…)</w:t>
      </w:r>
      <w:r w:rsidR="001C066A" w:rsidRPr="4F66E111">
        <w:rPr>
          <w:rStyle w:val="Voetnootmarkering"/>
          <w:rFonts w:cs="Arial"/>
          <w:lang w:eastAsia="en-US"/>
        </w:rPr>
        <w:footnoteReference w:id="4"/>
      </w:r>
      <w:r w:rsidR="001C066A" w:rsidRPr="00CB4656">
        <w:rPr>
          <w:rFonts w:cs="Arial"/>
          <w:lang w:val="en-GB" w:eastAsia="en-US"/>
        </w:rPr>
        <w:t xml:space="preserve"> </w:t>
      </w:r>
      <w:r w:rsidRPr="00CB4656">
        <w:rPr>
          <w:rFonts w:cs="Arial"/>
          <w:lang w:val="en-GB" w:eastAsia="en-US"/>
        </w:rPr>
        <w:t>of the accompanying management report</w:t>
      </w:r>
      <w:r w:rsidR="00F740AD" w:rsidRPr="4F66E111">
        <w:rPr>
          <w:rStyle w:val="Voetnootmarkering"/>
          <w:rFonts w:cs="Arial"/>
          <w:lang w:eastAsia="en-US"/>
        </w:rPr>
        <w:footnoteReference w:id="5"/>
      </w:r>
      <w:r w:rsidRPr="00CB4656">
        <w:rPr>
          <w:rFonts w:cs="Arial"/>
          <w:lang w:val="en-GB" w:eastAsia="en-US"/>
        </w:rPr>
        <w:t xml:space="preserve"> including the information incorporated in the sustainability statement by reference (hereinafter: the sustainability statement). </w:t>
      </w:r>
    </w:p>
    <w:p w14:paraId="0F3B7629" w14:textId="77777777" w:rsidR="00BF6A64" w:rsidRPr="0014611A" w:rsidRDefault="00BF6A64" w:rsidP="00B21568">
      <w:pPr>
        <w:widowControl w:val="0"/>
        <w:rPr>
          <w:rFonts w:cs="Arial"/>
          <w:lang w:val="en-US" w:eastAsia="en-US"/>
        </w:rPr>
      </w:pPr>
    </w:p>
    <w:p w14:paraId="08F82D8C" w14:textId="77777777" w:rsidR="00B21568" w:rsidRPr="00BF6A64" w:rsidRDefault="00B21568" w:rsidP="00BF6A64">
      <w:pPr>
        <w:widowControl w:val="0"/>
        <w:rPr>
          <w:rFonts w:cs="Arial"/>
          <w:lang w:val="en-US" w:eastAsia="en-US"/>
        </w:rPr>
      </w:pPr>
      <w:r w:rsidRPr="00BF6A64">
        <w:rPr>
          <w:rFonts w:cs="Arial"/>
          <w:lang w:val="en-US" w:eastAsia="en-US"/>
        </w:rPr>
        <w:t>Based on our procedures performed and the assurance evidence obtained, nothing has come to our attention that causes us to believe that the sustainability statement is not, in all material respects,</w:t>
      </w:r>
    </w:p>
    <w:p w14:paraId="33F81BCB" w14:textId="2E70602D" w:rsidR="00B21568" w:rsidRPr="00BF6A64" w:rsidRDefault="00B21568" w:rsidP="00BF6A64">
      <w:pPr>
        <w:widowControl w:val="0"/>
        <w:numPr>
          <w:ilvl w:val="0"/>
          <w:numId w:val="41"/>
        </w:numPr>
        <w:overflowPunct w:val="0"/>
        <w:autoSpaceDE w:val="0"/>
        <w:autoSpaceDN w:val="0"/>
        <w:adjustRightInd w:val="0"/>
        <w:ind w:left="392"/>
        <w:textAlignment w:val="baseline"/>
        <w:rPr>
          <w:rFonts w:eastAsia="Calibri" w:cs="Arial"/>
          <w:lang w:val="en-US" w:eastAsia="en-US"/>
        </w:rPr>
      </w:pPr>
      <w:r w:rsidRPr="00BF6A64">
        <w:rPr>
          <w:rFonts w:eastAsia="Calibri" w:cs="Arial"/>
          <w:lang w:val="en-US" w:eastAsia="en-US"/>
        </w:rPr>
        <w:t xml:space="preserve">prepared in accordance with the European Sustainability Reporting Standards (ESRS) as adopted by the European Commission and in accordance with the double materiality assessment process carried out by the company to identify the information reported pursuant to the ESRS; and </w:t>
      </w:r>
    </w:p>
    <w:p w14:paraId="734FF6F8" w14:textId="62966C61" w:rsidR="00B21568" w:rsidRPr="00BF6A64" w:rsidRDefault="00B21568" w:rsidP="00BF6A64">
      <w:pPr>
        <w:widowControl w:val="0"/>
        <w:numPr>
          <w:ilvl w:val="0"/>
          <w:numId w:val="41"/>
        </w:numPr>
        <w:overflowPunct w:val="0"/>
        <w:autoSpaceDE w:val="0"/>
        <w:autoSpaceDN w:val="0"/>
        <w:adjustRightInd w:val="0"/>
        <w:ind w:left="392"/>
        <w:textAlignment w:val="baseline"/>
        <w:rPr>
          <w:rFonts w:eastAsia="Calibri" w:cs="Arial"/>
          <w:lang w:val="en-US" w:eastAsia="en-US"/>
        </w:rPr>
      </w:pPr>
      <w:r w:rsidRPr="00BF6A64">
        <w:rPr>
          <w:rFonts w:eastAsia="Calibri" w:cs="Arial"/>
          <w:lang w:val="en-US" w:eastAsia="en-US"/>
        </w:rPr>
        <w:t>compliant with the reporting requirements provided for in Article 8 of Regulation (EU) 2020/852 (Taxonomy Regulation).</w:t>
      </w:r>
    </w:p>
    <w:p w14:paraId="08C31681" w14:textId="77777777" w:rsidR="00B21568" w:rsidRDefault="00B21568" w:rsidP="001A439A">
      <w:pPr>
        <w:widowControl w:val="0"/>
        <w:rPr>
          <w:rFonts w:cs="Arial"/>
          <w:lang w:val="en-US" w:eastAsia="en-US"/>
        </w:rPr>
      </w:pPr>
    </w:p>
    <w:p w14:paraId="23639337" w14:textId="77777777" w:rsidR="00803B8B" w:rsidRPr="004D6D3A" w:rsidRDefault="00803B8B" w:rsidP="001A439A">
      <w:pPr>
        <w:widowControl w:val="0"/>
        <w:overflowPunct w:val="0"/>
        <w:autoSpaceDE w:val="0"/>
        <w:autoSpaceDN w:val="0"/>
        <w:adjustRightInd w:val="0"/>
        <w:textAlignment w:val="baseline"/>
        <w:rPr>
          <w:rFonts w:cs="Arial"/>
          <w:b/>
          <w:lang w:val="en-US" w:eastAsia="en-US"/>
        </w:rPr>
      </w:pPr>
      <w:r w:rsidRPr="004D6D3A">
        <w:rPr>
          <w:rFonts w:cs="Arial"/>
          <w:b/>
          <w:lang w:val="en-US" w:eastAsia="en-US"/>
        </w:rPr>
        <w:t>Basis for our conclusion</w:t>
      </w:r>
    </w:p>
    <w:p w14:paraId="70154375" w14:textId="33ADE601" w:rsidR="004D6D3A" w:rsidRPr="004D6D3A" w:rsidRDefault="004D6D3A" w:rsidP="004D6D3A">
      <w:pPr>
        <w:widowControl w:val="0"/>
        <w:overflowPunct w:val="0"/>
        <w:autoSpaceDE w:val="0"/>
        <w:autoSpaceDN w:val="0"/>
        <w:adjustRightInd w:val="0"/>
        <w:textAlignment w:val="baseline"/>
        <w:rPr>
          <w:rFonts w:cs="Arial"/>
          <w:lang w:val="en-US" w:eastAsia="en-US"/>
        </w:rPr>
      </w:pPr>
      <w:r w:rsidRPr="004D6D3A">
        <w:rPr>
          <w:rFonts w:cs="Arial"/>
          <w:lang w:val="en-US" w:eastAsia="en-US"/>
        </w:rPr>
        <w:t>We have performed our limited assurance engagement on the sustainability statement in accordance with Dutch law, including Dutch Standard 3810N, “</w:t>
      </w:r>
      <w:r w:rsidRPr="00CB4656">
        <w:rPr>
          <w:rFonts w:cs="Arial"/>
          <w:i/>
          <w:iCs/>
          <w:lang w:val="en-US" w:eastAsia="en-US"/>
        </w:rPr>
        <w:t>Assurance-</w:t>
      </w:r>
      <w:proofErr w:type="spellStart"/>
      <w:r w:rsidRPr="00CB4656">
        <w:rPr>
          <w:rFonts w:cs="Arial"/>
          <w:i/>
          <w:iCs/>
          <w:lang w:val="en-US" w:eastAsia="en-US"/>
        </w:rPr>
        <w:t>opdrachten</w:t>
      </w:r>
      <w:proofErr w:type="spellEnd"/>
      <w:r w:rsidRPr="00CB4656">
        <w:rPr>
          <w:rFonts w:cs="Arial"/>
          <w:i/>
          <w:iCs/>
          <w:lang w:val="en-US" w:eastAsia="en-US"/>
        </w:rPr>
        <w:t xml:space="preserve"> </w:t>
      </w:r>
      <w:proofErr w:type="spellStart"/>
      <w:r w:rsidRPr="00CB4656">
        <w:rPr>
          <w:rFonts w:cs="Arial"/>
          <w:i/>
          <w:iCs/>
          <w:lang w:val="en-US" w:eastAsia="en-US"/>
        </w:rPr>
        <w:t>inzake</w:t>
      </w:r>
      <w:proofErr w:type="spellEnd"/>
      <w:r w:rsidRPr="00CB4656">
        <w:rPr>
          <w:rFonts w:cs="Arial"/>
          <w:i/>
          <w:iCs/>
          <w:lang w:val="en-US" w:eastAsia="en-US"/>
        </w:rPr>
        <w:t xml:space="preserve"> </w:t>
      </w:r>
      <w:proofErr w:type="spellStart"/>
      <w:r w:rsidRPr="00CB4656">
        <w:rPr>
          <w:rFonts w:cs="Arial"/>
          <w:i/>
          <w:iCs/>
          <w:lang w:val="en-US" w:eastAsia="en-US"/>
        </w:rPr>
        <w:t>duurzaamheidsverslaggeving</w:t>
      </w:r>
      <w:proofErr w:type="spellEnd"/>
      <w:r w:rsidRPr="004D6D3A">
        <w:rPr>
          <w:rFonts w:cs="Arial"/>
          <w:lang w:val="en-US" w:eastAsia="en-US"/>
        </w:rPr>
        <w:t>” (Assurance engagements relating to sustainability reporting) which is a specified Dutch standard that is based on the International Standard on Assurance Engagements (ISAE) 3000 (Revised)</w:t>
      </w:r>
      <w:r w:rsidR="000A6E0F">
        <w:rPr>
          <w:rFonts w:cs="Arial"/>
          <w:lang w:val="en-US" w:eastAsia="en-US"/>
        </w:rPr>
        <w:t xml:space="preserve"> </w:t>
      </w:r>
      <w:r w:rsidRPr="004D6D3A">
        <w:rPr>
          <w:rFonts w:cs="Arial"/>
          <w:lang w:val="en-US" w:eastAsia="en-US"/>
        </w:rPr>
        <w:t>’</w:t>
      </w:r>
      <w:r w:rsidRPr="00CB4656">
        <w:rPr>
          <w:rFonts w:cs="Arial"/>
          <w:i/>
          <w:iCs/>
          <w:lang w:val="en-US" w:eastAsia="en-US"/>
        </w:rPr>
        <w:t>Assurance engagements other than audits or reviews of historical financial information</w:t>
      </w:r>
      <w:r w:rsidRPr="004D6D3A">
        <w:rPr>
          <w:rFonts w:cs="Arial"/>
          <w:lang w:val="en-US" w:eastAsia="en-US"/>
        </w:rPr>
        <w:t xml:space="preserve">’. </w:t>
      </w:r>
    </w:p>
    <w:p w14:paraId="54A9F20A" w14:textId="77777777" w:rsidR="00822580" w:rsidRPr="004D6D3A" w:rsidRDefault="00822580" w:rsidP="001A439A">
      <w:pPr>
        <w:widowControl w:val="0"/>
        <w:overflowPunct w:val="0"/>
        <w:autoSpaceDE w:val="0"/>
        <w:autoSpaceDN w:val="0"/>
        <w:adjustRightInd w:val="0"/>
        <w:textAlignment w:val="baseline"/>
        <w:rPr>
          <w:rFonts w:cs="Arial"/>
          <w:highlight w:val="yellow"/>
          <w:lang w:val="en-GB" w:eastAsia="en-US"/>
        </w:rPr>
      </w:pPr>
    </w:p>
    <w:p w14:paraId="5B4BB824" w14:textId="77777777" w:rsidR="00822580" w:rsidRPr="00822580" w:rsidRDefault="00822580" w:rsidP="00822580">
      <w:pPr>
        <w:widowControl w:val="0"/>
        <w:overflowPunct w:val="0"/>
        <w:autoSpaceDE w:val="0"/>
        <w:autoSpaceDN w:val="0"/>
        <w:adjustRightInd w:val="0"/>
        <w:textAlignment w:val="baseline"/>
        <w:rPr>
          <w:rFonts w:cs="Arial"/>
          <w:lang w:val="en-US" w:eastAsia="en-US"/>
        </w:rPr>
      </w:pPr>
      <w:r w:rsidRPr="00822580">
        <w:rPr>
          <w:rFonts w:cs="Arial"/>
          <w:lang w:val="en-US" w:eastAsia="en-US"/>
        </w:rPr>
        <w:t>Our responsibilities in this regard are further described in the section ‘Our responsibilities for the limited assurance engagement on the sustainability statement’ of our report.</w:t>
      </w:r>
    </w:p>
    <w:p w14:paraId="02E42502" w14:textId="77777777" w:rsidR="00822580" w:rsidRPr="00822580" w:rsidRDefault="00822580" w:rsidP="00822580">
      <w:pPr>
        <w:widowControl w:val="0"/>
        <w:overflowPunct w:val="0"/>
        <w:autoSpaceDE w:val="0"/>
        <w:autoSpaceDN w:val="0"/>
        <w:adjustRightInd w:val="0"/>
        <w:textAlignment w:val="baseline"/>
        <w:rPr>
          <w:rFonts w:cs="Arial"/>
          <w:lang w:val="en-US" w:eastAsia="en-US"/>
        </w:rPr>
      </w:pPr>
    </w:p>
    <w:p w14:paraId="056C6EBC" w14:textId="315D8F1A" w:rsidR="00822580" w:rsidRPr="00822580" w:rsidRDefault="00822580" w:rsidP="00822580">
      <w:pPr>
        <w:widowControl w:val="0"/>
        <w:overflowPunct w:val="0"/>
        <w:autoSpaceDE w:val="0"/>
        <w:autoSpaceDN w:val="0"/>
        <w:adjustRightInd w:val="0"/>
        <w:textAlignment w:val="baseline"/>
        <w:rPr>
          <w:rFonts w:cs="Arial"/>
          <w:lang w:val="en-US" w:eastAsia="en-US"/>
        </w:rPr>
      </w:pPr>
      <w:r w:rsidRPr="00822580">
        <w:rPr>
          <w:rFonts w:cs="Arial"/>
          <w:lang w:val="en-US" w:eastAsia="en-US"/>
        </w:rPr>
        <w:t xml:space="preserve">We are independent of </w:t>
      </w:r>
      <w:r w:rsidR="00A8601E">
        <w:rPr>
          <w:rFonts w:cs="Arial"/>
          <w:lang w:val="en-US" w:eastAsia="en-US"/>
        </w:rPr>
        <w:t xml:space="preserve">… (naam </w:t>
      </w:r>
      <w:proofErr w:type="spellStart"/>
      <w:r w:rsidR="00A8601E">
        <w:rPr>
          <w:rFonts w:cs="Arial"/>
          <w:lang w:val="en-US" w:eastAsia="en-US"/>
        </w:rPr>
        <w:t>entiteit</w:t>
      </w:r>
      <w:proofErr w:type="spellEnd"/>
      <w:r w:rsidR="00A8601E">
        <w:rPr>
          <w:rFonts w:cs="Arial"/>
          <w:lang w:val="en-US" w:eastAsia="en-US"/>
        </w:rPr>
        <w:t>)</w:t>
      </w:r>
      <w:r w:rsidRPr="00822580">
        <w:rPr>
          <w:rFonts w:cs="Arial"/>
          <w:lang w:val="en-US" w:eastAsia="en-US"/>
        </w:rPr>
        <w:t xml:space="preserve"> in accordance with (</w:t>
      </w:r>
      <w:proofErr w:type="spellStart"/>
      <w:r w:rsidRPr="00822580">
        <w:rPr>
          <w:rFonts w:cs="Arial"/>
          <w:lang w:val="en-US" w:eastAsia="en-US"/>
        </w:rPr>
        <w:t>indien</w:t>
      </w:r>
      <w:proofErr w:type="spellEnd"/>
      <w:r w:rsidRPr="00822580">
        <w:rPr>
          <w:rFonts w:cs="Arial"/>
          <w:lang w:val="en-US" w:eastAsia="en-US"/>
        </w:rPr>
        <w:t xml:space="preserve"> van </w:t>
      </w:r>
      <w:proofErr w:type="spellStart"/>
      <w:r w:rsidRPr="00822580">
        <w:rPr>
          <w:rFonts w:cs="Arial"/>
          <w:lang w:val="en-US" w:eastAsia="en-US"/>
        </w:rPr>
        <w:t>toepassing</w:t>
      </w:r>
      <w:proofErr w:type="spellEnd"/>
      <w:r w:rsidRPr="00822580">
        <w:rPr>
          <w:rFonts w:cs="Arial"/>
          <w:lang w:val="en-US" w:eastAsia="en-US"/>
        </w:rPr>
        <w:t xml:space="preserve">: the </w:t>
      </w:r>
      <w:r w:rsidRPr="00CB4656">
        <w:rPr>
          <w:rFonts w:cs="Arial"/>
          <w:i/>
          <w:iCs/>
          <w:lang w:val="en-US" w:eastAsia="en-US"/>
        </w:rPr>
        <w:t xml:space="preserve">Wet </w:t>
      </w:r>
      <w:proofErr w:type="spellStart"/>
      <w:r w:rsidRPr="00CB4656">
        <w:rPr>
          <w:rFonts w:cs="Arial"/>
          <w:i/>
          <w:iCs/>
          <w:lang w:val="en-US" w:eastAsia="en-US"/>
        </w:rPr>
        <w:t>toezicht</w:t>
      </w:r>
      <w:proofErr w:type="spellEnd"/>
      <w:r w:rsidRPr="00CB4656">
        <w:rPr>
          <w:rFonts w:cs="Arial"/>
          <w:i/>
          <w:iCs/>
          <w:lang w:val="en-US" w:eastAsia="en-US"/>
        </w:rPr>
        <w:t xml:space="preserve"> </w:t>
      </w:r>
      <w:proofErr w:type="spellStart"/>
      <w:r w:rsidRPr="00CB4656">
        <w:rPr>
          <w:rFonts w:cs="Arial"/>
          <w:i/>
          <w:iCs/>
          <w:lang w:val="en-US" w:eastAsia="en-US"/>
        </w:rPr>
        <w:t>accountantsorganisaties</w:t>
      </w:r>
      <w:proofErr w:type="spellEnd"/>
      <w:r w:rsidRPr="00822580">
        <w:rPr>
          <w:rFonts w:cs="Arial"/>
          <w:lang w:val="en-US" w:eastAsia="en-US"/>
        </w:rPr>
        <w:t xml:space="preserve"> (</w:t>
      </w:r>
      <w:proofErr w:type="spellStart"/>
      <w:r w:rsidRPr="00822580">
        <w:rPr>
          <w:rFonts w:cs="Arial"/>
          <w:lang w:val="en-US" w:eastAsia="en-US"/>
        </w:rPr>
        <w:t>Wta</w:t>
      </w:r>
      <w:proofErr w:type="spellEnd"/>
      <w:r w:rsidRPr="00822580">
        <w:rPr>
          <w:rFonts w:cs="Arial"/>
          <w:lang w:val="en-US" w:eastAsia="en-US"/>
        </w:rPr>
        <w:t>, Audit firms supervision act)</w:t>
      </w:r>
      <w:r w:rsidR="002F68E4">
        <w:rPr>
          <w:rStyle w:val="Voetnootmarkering"/>
          <w:rFonts w:cs="Arial"/>
          <w:lang w:val="en-US" w:eastAsia="en-US"/>
        </w:rPr>
        <w:footnoteReference w:id="6"/>
      </w:r>
      <w:r w:rsidRPr="00822580">
        <w:rPr>
          <w:rFonts w:cs="Arial"/>
          <w:lang w:val="en-US" w:eastAsia="en-US"/>
        </w:rPr>
        <w:t xml:space="preserve">),  the </w:t>
      </w:r>
      <w:proofErr w:type="spellStart"/>
      <w:r w:rsidRPr="00CB4656">
        <w:rPr>
          <w:rFonts w:cs="Arial"/>
          <w:i/>
          <w:iCs/>
          <w:lang w:val="en-US" w:eastAsia="en-US"/>
        </w:rPr>
        <w:t>Verordening</w:t>
      </w:r>
      <w:proofErr w:type="spellEnd"/>
      <w:r w:rsidRPr="00CB4656">
        <w:rPr>
          <w:rFonts w:cs="Arial"/>
          <w:i/>
          <w:iCs/>
          <w:lang w:val="en-US" w:eastAsia="en-US"/>
        </w:rPr>
        <w:t xml:space="preserve"> </w:t>
      </w:r>
      <w:proofErr w:type="spellStart"/>
      <w:r w:rsidRPr="00CB4656">
        <w:rPr>
          <w:rFonts w:cs="Arial"/>
          <w:i/>
          <w:iCs/>
          <w:lang w:val="en-US" w:eastAsia="en-US"/>
        </w:rPr>
        <w:t>inzake</w:t>
      </w:r>
      <w:proofErr w:type="spellEnd"/>
      <w:r w:rsidRPr="00CB4656">
        <w:rPr>
          <w:rFonts w:cs="Arial"/>
          <w:i/>
          <w:iCs/>
          <w:lang w:val="en-US" w:eastAsia="en-US"/>
        </w:rPr>
        <w:t xml:space="preserve"> de </w:t>
      </w:r>
      <w:proofErr w:type="spellStart"/>
      <w:r w:rsidRPr="00CB4656">
        <w:rPr>
          <w:rFonts w:cs="Arial"/>
          <w:i/>
          <w:iCs/>
          <w:lang w:val="en-US" w:eastAsia="en-US"/>
        </w:rPr>
        <w:t>onafhankelijkheid</w:t>
      </w:r>
      <w:proofErr w:type="spellEnd"/>
      <w:r w:rsidRPr="00CB4656">
        <w:rPr>
          <w:rFonts w:cs="Arial"/>
          <w:i/>
          <w:iCs/>
          <w:lang w:val="en-US" w:eastAsia="en-US"/>
        </w:rPr>
        <w:t xml:space="preserve"> van accountants </w:t>
      </w:r>
      <w:proofErr w:type="spellStart"/>
      <w:r w:rsidRPr="00CB4656">
        <w:rPr>
          <w:rFonts w:cs="Arial"/>
          <w:i/>
          <w:iCs/>
          <w:lang w:val="en-US" w:eastAsia="en-US"/>
        </w:rPr>
        <w:t>bij</w:t>
      </w:r>
      <w:proofErr w:type="spellEnd"/>
      <w:r w:rsidRPr="00CB4656">
        <w:rPr>
          <w:rFonts w:cs="Arial"/>
          <w:i/>
          <w:iCs/>
          <w:lang w:val="en-US" w:eastAsia="en-US"/>
        </w:rPr>
        <w:t xml:space="preserve"> assurance-</w:t>
      </w:r>
      <w:proofErr w:type="spellStart"/>
      <w:r w:rsidRPr="00CB4656">
        <w:rPr>
          <w:rFonts w:cs="Arial"/>
          <w:i/>
          <w:iCs/>
          <w:lang w:val="en-US" w:eastAsia="en-US"/>
        </w:rPr>
        <w:t>opdrachten</w:t>
      </w:r>
      <w:proofErr w:type="spellEnd"/>
      <w:r w:rsidRPr="00822580">
        <w:rPr>
          <w:rFonts w:cs="Arial"/>
          <w:lang w:val="en-US" w:eastAsia="en-US"/>
        </w:rPr>
        <w:t xml:space="preserve"> (</w:t>
      </w:r>
      <w:proofErr w:type="spellStart"/>
      <w:r w:rsidRPr="00822580">
        <w:rPr>
          <w:rFonts w:cs="Arial"/>
          <w:lang w:val="en-US" w:eastAsia="en-US"/>
        </w:rPr>
        <w:t>ViO</w:t>
      </w:r>
      <w:proofErr w:type="spellEnd"/>
      <w:r w:rsidRPr="00822580">
        <w:rPr>
          <w:rFonts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CB4656">
        <w:rPr>
          <w:rFonts w:cs="Arial"/>
          <w:i/>
          <w:iCs/>
          <w:lang w:val="en-US" w:eastAsia="en-US"/>
        </w:rPr>
        <w:t>Verordening</w:t>
      </w:r>
      <w:proofErr w:type="spellEnd"/>
      <w:r w:rsidRPr="00CB4656">
        <w:rPr>
          <w:rFonts w:cs="Arial"/>
          <w:i/>
          <w:iCs/>
          <w:lang w:val="en-US" w:eastAsia="en-US"/>
        </w:rPr>
        <w:t xml:space="preserve"> </w:t>
      </w:r>
      <w:proofErr w:type="spellStart"/>
      <w:r w:rsidRPr="00CB4656">
        <w:rPr>
          <w:rFonts w:cs="Arial"/>
          <w:i/>
          <w:iCs/>
          <w:lang w:val="en-US" w:eastAsia="en-US"/>
        </w:rPr>
        <w:t>gedrags</w:t>
      </w:r>
      <w:proofErr w:type="spellEnd"/>
      <w:r w:rsidRPr="00CB4656">
        <w:rPr>
          <w:rFonts w:cs="Arial"/>
          <w:i/>
          <w:iCs/>
          <w:lang w:val="en-US" w:eastAsia="en-US"/>
        </w:rPr>
        <w:t xml:space="preserve">- </w:t>
      </w:r>
      <w:proofErr w:type="spellStart"/>
      <w:r w:rsidRPr="00CB4656">
        <w:rPr>
          <w:rFonts w:cs="Arial"/>
          <w:i/>
          <w:iCs/>
          <w:lang w:val="en-US" w:eastAsia="en-US"/>
        </w:rPr>
        <w:t>en</w:t>
      </w:r>
      <w:proofErr w:type="spellEnd"/>
      <w:r w:rsidRPr="00CB4656">
        <w:rPr>
          <w:rFonts w:cs="Arial"/>
          <w:i/>
          <w:iCs/>
          <w:lang w:val="en-US" w:eastAsia="en-US"/>
        </w:rPr>
        <w:t xml:space="preserve"> </w:t>
      </w:r>
      <w:proofErr w:type="spellStart"/>
      <w:r w:rsidRPr="00CB4656">
        <w:rPr>
          <w:rFonts w:cs="Arial"/>
          <w:i/>
          <w:iCs/>
          <w:lang w:val="en-US" w:eastAsia="en-US"/>
        </w:rPr>
        <w:t>beroepsregels</w:t>
      </w:r>
      <w:proofErr w:type="spellEnd"/>
      <w:r w:rsidRPr="00CB4656">
        <w:rPr>
          <w:rFonts w:cs="Arial"/>
          <w:i/>
          <w:iCs/>
          <w:lang w:val="en-US" w:eastAsia="en-US"/>
        </w:rPr>
        <w:t xml:space="preserve"> accountants</w:t>
      </w:r>
      <w:r w:rsidRPr="00822580">
        <w:rPr>
          <w:rFonts w:cs="Arial"/>
          <w:lang w:val="en-US" w:eastAsia="en-US"/>
        </w:rPr>
        <w:t xml:space="preserve"> (VGBA, Dutch Code of Ethics for Professional Accountants).</w:t>
      </w:r>
    </w:p>
    <w:p w14:paraId="2BE0CDD6" w14:textId="77777777" w:rsidR="00822580" w:rsidRPr="00822580" w:rsidRDefault="00822580" w:rsidP="00822580">
      <w:pPr>
        <w:widowControl w:val="0"/>
        <w:overflowPunct w:val="0"/>
        <w:autoSpaceDE w:val="0"/>
        <w:autoSpaceDN w:val="0"/>
        <w:adjustRightInd w:val="0"/>
        <w:textAlignment w:val="baseline"/>
        <w:rPr>
          <w:rFonts w:cs="Arial"/>
          <w:lang w:val="en-US" w:eastAsia="en-US"/>
        </w:rPr>
      </w:pPr>
    </w:p>
    <w:p w14:paraId="6A45434D" w14:textId="77777777" w:rsidR="00822580" w:rsidRPr="00822580" w:rsidRDefault="00822580" w:rsidP="00822580">
      <w:pPr>
        <w:widowControl w:val="0"/>
        <w:overflowPunct w:val="0"/>
        <w:autoSpaceDE w:val="0"/>
        <w:autoSpaceDN w:val="0"/>
        <w:adjustRightInd w:val="0"/>
        <w:textAlignment w:val="baseline"/>
        <w:rPr>
          <w:rFonts w:cs="Arial"/>
          <w:lang w:val="en-US" w:eastAsia="en-US"/>
        </w:rPr>
      </w:pPr>
      <w:r w:rsidRPr="0014611A">
        <w:rPr>
          <w:rFonts w:cs="Arial"/>
          <w:i/>
          <w:iCs/>
          <w:lang w:val="en-GB"/>
        </w:rPr>
        <w:t>(</w:t>
      </w:r>
      <w:proofErr w:type="spellStart"/>
      <w:r w:rsidRPr="002F68E4">
        <w:rPr>
          <w:rFonts w:cs="Arial"/>
          <w:i/>
          <w:iCs/>
          <w:lang w:val="en-US" w:eastAsia="en-US"/>
        </w:rPr>
        <w:t>Optioneel</w:t>
      </w:r>
      <w:proofErr w:type="spellEnd"/>
      <w:r w:rsidRPr="002F68E4">
        <w:rPr>
          <w:rFonts w:cs="Arial"/>
          <w:i/>
          <w:iCs/>
          <w:lang w:val="en-US" w:eastAsia="en-US"/>
        </w:rPr>
        <w:t xml:space="preserve"> – </w:t>
      </w:r>
      <w:proofErr w:type="spellStart"/>
      <w:r w:rsidRPr="002F68E4">
        <w:rPr>
          <w:rFonts w:cs="Arial"/>
          <w:i/>
          <w:iCs/>
          <w:lang w:val="en-US" w:eastAsia="en-US"/>
        </w:rPr>
        <w:t>voor</w:t>
      </w:r>
      <w:proofErr w:type="spellEnd"/>
      <w:r w:rsidRPr="002F68E4">
        <w:rPr>
          <w:rFonts w:cs="Arial"/>
          <w:i/>
          <w:iCs/>
          <w:lang w:val="en-US" w:eastAsia="en-US"/>
        </w:rPr>
        <w:t xml:space="preserve"> </w:t>
      </w:r>
      <w:proofErr w:type="spellStart"/>
      <w:r w:rsidRPr="002F68E4">
        <w:rPr>
          <w:rFonts w:cs="Arial"/>
          <w:i/>
          <w:iCs/>
          <w:lang w:val="en-US" w:eastAsia="en-US"/>
        </w:rPr>
        <w:t>internationale</w:t>
      </w:r>
      <w:proofErr w:type="spellEnd"/>
      <w:r w:rsidRPr="002F68E4">
        <w:rPr>
          <w:rFonts w:cs="Arial"/>
          <w:i/>
          <w:iCs/>
          <w:lang w:val="en-US" w:eastAsia="en-US"/>
        </w:rPr>
        <w:t xml:space="preserve"> context:</w:t>
      </w:r>
      <w:r w:rsidRPr="00822580">
        <w:rPr>
          <w:rFonts w:cs="Arial"/>
          <w:lang w:val="en-US" w:eastAsia="en-US"/>
        </w:rPr>
        <w:t xml:space="preserve"> The </w:t>
      </w:r>
      <w:proofErr w:type="spellStart"/>
      <w:r w:rsidRPr="00822580">
        <w:rPr>
          <w:rFonts w:cs="Arial"/>
          <w:lang w:val="en-US" w:eastAsia="en-US"/>
        </w:rPr>
        <w:t>ViO</w:t>
      </w:r>
      <w:proofErr w:type="spellEnd"/>
      <w:r w:rsidRPr="00822580">
        <w:rPr>
          <w:rFonts w:cs="Arial"/>
          <w:lang w:val="en-US" w:eastAsia="en-US"/>
        </w:rPr>
        <w:t xml:space="preserve"> and VGBA are at least as demanding as the International code of ethics for professional accountants (including International independence standards) of the International Ethics Standards Board for Accountants (the IESBA Code).)</w:t>
      </w:r>
    </w:p>
    <w:p w14:paraId="7E33D73E" w14:textId="77777777" w:rsidR="00822580" w:rsidRPr="00822580" w:rsidRDefault="00822580" w:rsidP="00822580">
      <w:pPr>
        <w:widowControl w:val="0"/>
        <w:overflowPunct w:val="0"/>
        <w:autoSpaceDE w:val="0"/>
        <w:autoSpaceDN w:val="0"/>
        <w:adjustRightInd w:val="0"/>
        <w:textAlignment w:val="baseline"/>
        <w:rPr>
          <w:rFonts w:cs="Arial"/>
          <w:lang w:val="en-US" w:eastAsia="en-US"/>
        </w:rPr>
      </w:pPr>
    </w:p>
    <w:p w14:paraId="25D56E32" w14:textId="77777777" w:rsidR="00822580" w:rsidRPr="00822580" w:rsidRDefault="00822580" w:rsidP="00822580">
      <w:pPr>
        <w:widowControl w:val="0"/>
        <w:overflowPunct w:val="0"/>
        <w:autoSpaceDE w:val="0"/>
        <w:autoSpaceDN w:val="0"/>
        <w:adjustRightInd w:val="0"/>
        <w:textAlignment w:val="baseline"/>
        <w:rPr>
          <w:rFonts w:cs="Arial"/>
          <w:lang w:val="en-US" w:eastAsia="en-US"/>
        </w:rPr>
      </w:pPr>
      <w:r w:rsidRPr="00822580">
        <w:rPr>
          <w:rFonts w:cs="Arial"/>
          <w:lang w:val="en-US" w:eastAsia="en-US"/>
        </w:rPr>
        <w:t>We believe that the assurance evidence we have obtained is sufficient and appropriate to provide a basis for our conclusion.</w:t>
      </w:r>
    </w:p>
    <w:p w14:paraId="07F133A2" w14:textId="77777777" w:rsidR="00822580" w:rsidRPr="00822580" w:rsidRDefault="00822580" w:rsidP="00822580">
      <w:pPr>
        <w:widowControl w:val="0"/>
        <w:overflowPunct w:val="0"/>
        <w:autoSpaceDE w:val="0"/>
        <w:autoSpaceDN w:val="0"/>
        <w:adjustRightInd w:val="0"/>
        <w:textAlignment w:val="baseline"/>
        <w:rPr>
          <w:rFonts w:cs="Arial"/>
          <w:lang w:val="en-US" w:eastAsia="en-US"/>
        </w:rPr>
      </w:pPr>
    </w:p>
    <w:p w14:paraId="7C2CCC5F" w14:textId="3795E0DF" w:rsidR="002E0C3C" w:rsidRPr="002E0C3C" w:rsidRDefault="002E0C3C" w:rsidP="002E0C3C">
      <w:pPr>
        <w:widowControl w:val="0"/>
        <w:overflowPunct w:val="0"/>
        <w:autoSpaceDE w:val="0"/>
        <w:autoSpaceDN w:val="0"/>
        <w:adjustRightInd w:val="0"/>
        <w:textAlignment w:val="baseline"/>
        <w:rPr>
          <w:rFonts w:cs="Arial"/>
          <w:b/>
          <w:lang w:val="en-US" w:eastAsia="en-US"/>
        </w:rPr>
      </w:pPr>
      <w:r w:rsidRPr="002E0C3C">
        <w:rPr>
          <w:rFonts w:cs="Arial"/>
          <w:b/>
          <w:lang w:val="en-US" w:eastAsia="en-US"/>
        </w:rPr>
        <w:t>Emphasis of matter</w:t>
      </w:r>
      <w:r w:rsidR="00D75A0D">
        <w:rPr>
          <w:rStyle w:val="Voetnootmarkering"/>
          <w:rFonts w:cs="Arial"/>
          <w:b/>
          <w:lang w:val="en-US" w:eastAsia="en-US"/>
        </w:rPr>
        <w:footnoteReference w:id="7"/>
      </w:r>
    </w:p>
    <w:p w14:paraId="15C66BF4" w14:textId="77777777" w:rsidR="00B53EC5" w:rsidRPr="00822580" w:rsidRDefault="00B53EC5" w:rsidP="00B53EC5">
      <w:pPr>
        <w:widowControl w:val="0"/>
        <w:overflowPunct w:val="0"/>
        <w:autoSpaceDE w:val="0"/>
        <w:autoSpaceDN w:val="0"/>
        <w:adjustRightInd w:val="0"/>
        <w:textAlignment w:val="baseline"/>
        <w:rPr>
          <w:rFonts w:cs="Arial"/>
          <w:lang w:val="en-US" w:eastAsia="en-US"/>
        </w:rPr>
      </w:pPr>
    </w:p>
    <w:p w14:paraId="41FA160B" w14:textId="77777777" w:rsidR="002E0C3C" w:rsidRPr="0014611A" w:rsidRDefault="002E0C3C" w:rsidP="002E0C3C">
      <w:pPr>
        <w:spacing w:after="1" w:line="288" w:lineRule="exact"/>
        <w:rPr>
          <w:rFonts w:cs="Arial"/>
          <w:u w:val="single"/>
          <w:lang w:val="en-GB"/>
        </w:rPr>
      </w:pPr>
      <w:r w:rsidRPr="0014611A">
        <w:rPr>
          <w:rFonts w:cs="Arial"/>
          <w:u w:val="single"/>
          <w:lang w:val="en-GB"/>
        </w:rPr>
        <w:t>Emphasis on the context of the new sustainability reporting standards</w:t>
      </w:r>
    </w:p>
    <w:p w14:paraId="322C6E53" w14:textId="6533472E" w:rsidR="002E0C3C" w:rsidRPr="00A55FE4" w:rsidRDefault="002E0C3C" w:rsidP="00A55FE4">
      <w:pPr>
        <w:widowControl w:val="0"/>
        <w:overflowPunct w:val="0"/>
        <w:autoSpaceDE w:val="0"/>
        <w:autoSpaceDN w:val="0"/>
        <w:adjustRightInd w:val="0"/>
        <w:textAlignment w:val="baseline"/>
        <w:rPr>
          <w:rFonts w:cs="Arial"/>
          <w:lang w:val="en-US" w:eastAsia="en-US"/>
        </w:rPr>
      </w:pPr>
      <w:r w:rsidRPr="00A55FE4">
        <w:rPr>
          <w:rFonts w:cs="Arial"/>
          <w:lang w:val="en-US" w:eastAsia="en-US"/>
        </w:rPr>
        <w:t xml:space="preserve">We draw attention to section </w:t>
      </w:r>
      <w:r w:rsidR="00C00CE3">
        <w:rPr>
          <w:rFonts w:cs="Arial"/>
          <w:lang w:val="en-US" w:eastAsia="en-US"/>
        </w:rPr>
        <w:t>(</w:t>
      </w:r>
      <w:r w:rsidRPr="00A55FE4">
        <w:rPr>
          <w:rFonts w:cs="Arial"/>
          <w:lang w:val="en-US" w:eastAsia="en-US"/>
        </w:rPr>
        <w:t>…</w:t>
      </w:r>
      <w:r w:rsidR="00C00CE3">
        <w:rPr>
          <w:rFonts w:cs="Arial"/>
          <w:lang w:val="en-US" w:eastAsia="en-US"/>
        </w:rPr>
        <w:t>)</w:t>
      </w:r>
      <w:r w:rsidR="006F1AFE">
        <w:rPr>
          <w:rStyle w:val="Voetnootmarkering"/>
          <w:rFonts w:cs="Arial"/>
          <w:lang w:val="en-US" w:eastAsia="en-US"/>
        </w:rPr>
        <w:footnoteReference w:id="8"/>
      </w:r>
      <w:r w:rsidRPr="00A55FE4">
        <w:rPr>
          <w:rFonts w:cs="Arial"/>
          <w:lang w:val="en-US" w:eastAsia="en-US"/>
        </w:rPr>
        <w:t xml:space="preserve"> of the sustainability statement. This disclosure sets out that the sustainability statement has been prepared in a context of new sustainability reporting standards requiring entity-specific and temporary interpretations and addressing inherent measurement or evaluation uncertainties.</w:t>
      </w:r>
    </w:p>
    <w:p w14:paraId="6D91472F" w14:textId="77777777" w:rsidR="002E0C3C" w:rsidRPr="00A55FE4" w:rsidRDefault="002E0C3C" w:rsidP="00A55FE4">
      <w:pPr>
        <w:widowControl w:val="0"/>
        <w:overflowPunct w:val="0"/>
        <w:autoSpaceDE w:val="0"/>
        <w:autoSpaceDN w:val="0"/>
        <w:adjustRightInd w:val="0"/>
        <w:textAlignment w:val="baseline"/>
        <w:rPr>
          <w:rFonts w:cs="Arial"/>
          <w:lang w:val="en-US" w:eastAsia="en-US"/>
        </w:rPr>
      </w:pPr>
    </w:p>
    <w:p w14:paraId="7964B887" w14:textId="77777777" w:rsidR="002E0C3C" w:rsidRPr="0014611A" w:rsidRDefault="002E0C3C" w:rsidP="002E0C3C">
      <w:pPr>
        <w:spacing w:after="1" w:line="288" w:lineRule="exact"/>
        <w:rPr>
          <w:rFonts w:cs="Arial"/>
          <w:u w:val="single"/>
          <w:lang w:val="en-GB"/>
        </w:rPr>
      </w:pPr>
      <w:r w:rsidRPr="0014611A">
        <w:rPr>
          <w:rFonts w:cs="Arial"/>
          <w:u w:val="single"/>
          <w:lang w:val="en-GB"/>
        </w:rPr>
        <w:t>Emphasis on the most significant uncertainties affecting the quantitative metrics and monetary amounts</w:t>
      </w:r>
    </w:p>
    <w:p w14:paraId="280806F5" w14:textId="756C56C7" w:rsidR="002E0C3C" w:rsidRPr="00727011" w:rsidRDefault="002E0C3C" w:rsidP="00727011">
      <w:pPr>
        <w:widowControl w:val="0"/>
        <w:overflowPunct w:val="0"/>
        <w:autoSpaceDE w:val="0"/>
        <w:autoSpaceDN w:val="0"/>
        <w:adjustRightInd w:val="0"/>
        <w:textAlignment w:val="baseline"/>
        <w:rPr>
          <w:rFonts w:cs="Arial"/>
          <w:lang w:val="en-US" w:eastAsia="en-US"/>
        </w:rPr>
      </w:pPr>
      <w:r w:rsidRPr="00727011">
        <w:rPr>
          <w:rFonts w:cs="Arial"/>
          <w:lang w:val="en-US" w:eastAsia="en-US"/>
        </w:rPr>
        <w:t>We draw attention to section (…)</w:t>
      </w:r>
      <w:r w:rsidR="00FD4713">
        <w:rPr>
          <w:rStyle w:val="Voetnootmarkering"/>
          <w:rFonts w:cs="Arial"/>
          <w:lang w:val="en-US" w:eastAsia="en-US"/>
        </w:rPr>
        <w:footnoteReference w:id="9"/>
      </w:r>
      <w:r w:rsidR="00FD4713">
        <w:rPr>
          <w:rFonts w:cs="Arial"/>
          <w:lang w:val="en-US" w:eastAsia="en-US"/>
        </w:rPr>
        <w:t xml:space="preserve"> </w:t>
      </w:r>
      <w:r w:rsidRPr="00727011">
        <w:rPr>
          <w:rFonts w:cs="Arial"/>
          <w:lang w:val="en-US" w:eastAsia="en-US"/>
        </w:rPr>
        <w:t xml:space="preserve">in the sustainability statement that identifies the quantitative metrics and monetary amounts that are subject to a high level of measurement uncertainty and discloses </w:t>
      </w:r>
      <w:r w:rsidRPr="00727011">
        <w:rPr>
          <w:rFonts w:cs="Arial"/>
          <w:lang w:val="en-US" w:eastAsia="en-US"/>
        </w:rPr>
        <w:lastRenderedPageBreak/>
        <w:t>information about the sources of measurement uncertainty and the assumptions, approximations and judgements the company has made in measuring these in compliance with the ESRS.</w:t>
      </w:r>
    </w:p>
    <w:p w14:paraId="56FFBED8" w14:textId="77777777" w:rsidR="002E0C3C" w:rsidRDefault="002E0C3C" w:rsidP="002E0C3C">
      <w:pPr>
        <w:spacing w:after="1" w:line="288" w:lineRule="exact"/>
        <w:rPr>
          <w:rFonts w:cs="Arial"/>
          <w:lang w:val="en-GB"/>
        </w:rPr>
      </w:pPr>
    </w:p>
    <w:p w14:paraId="4099A243" w14:textId="77777777" w:rsidR="00A72AC2" w:rsidRPr="00A72AC2" w:rsidRDefault="00A72AC2" w:rsidP="00A72AC2">
      <w:pPr>
        <w:widowControl w:val="0"/>
        <w:overflowPunct w:val="0"/>
        <w:autoSpaceDE w:val="0"/>
        <w:autoSpaceDN w:val="0"/>
        <w:adjustRightInd w:val="0"/>
        <w:textAlignment w:val="baseline"/>
        <w:rPr>
          <w:rFonts w:cs="Arial"/>
          <w:iCs/>
          <w:lang w:val="en-US" w:eastAsia="en-US"/>
        </w:rPr>
      </w:pPr>
      <w:r w:rsidRPr="00A72AC2">
        <w:rPr>
          <w:rFonts w:cs="Arial"/>
          <w:iCs/>
          <w:lang w:val="en-US" w:eastAsia="en-US"/>
        </w:rPr>
        <w:t>The comparability of sustainability information between entities and over time may be affected by the lack of historical sustainability information in accordance with the ESRS and by the absence of a uniform practice on which to draw, to evaluate and measure this information. This allows for the application of different, but acceptable, measurement techniques, especially in the initial years.</w:t>
      </w:r>
    </w:p>
    <w:p w14:paraId="2F1FD46C" w14:textId="77777777" w:rsidR="00A72AC2" w:rsidRPr="00A72AC2" w:rsidRDefault="00A72AC2" w:rsidP="00A72AC2">
      <w:pPr>
        <w:widowControl w:val="0"/>
        <w:overflowPunct w:val="0"/>
        <w:autoSpaceDE w:val="0"/>
        <w:autoSpaceDN w:val="0"/>
        <w:adjustRightInd w:val="0"/>
        <w:textAlignment w:val="baseline"/>
        <w:rPr>
          <w:rFonts w:cs="Arial"/>
          <w:i/>
          <w:lang w:val="en-US" w:eastAsia="en-US"/>
        </w:rPr>
      </w:pPr>
    </w:p>
    <w:p w14:paraId="71B15CE2" w14:textId="77777777" w:rsidR="000760CC" w:rsidRPr="0014611A" w:rsidRDefault="000760CC" w:rsidP="000760CC">
      <w:pPr>
        <w:spacing w:after="1" w:line="288" w:lineRule="exact"/>
        <w:rPr>
          <w:rFonts w:cs="Arial"/>
          <w:u w:val="single"/>
          <w:lang w:val="en-GB"/>
        </w:rPr>
      </w:pPr>
      <w:r w:rsidRPr="0014611A">
        <w:rPr>
          <w:rFonts w:cs="Arial"/>
          <w:u w:val="single"/>
          <w:lang w:val="en-GB"/>
        </w:rPr>
        <w:t xml:space="preserve">Emphasis on the double materiality assessment process </w:t>
      </w:r>
    </w:p>
    <w:p w14:paraId="3C45504C" w14:textId="291F7CA3" w:rsidR="000760CC" w:rsidRPr="000760CC" w:rsidRDefault="000760CC" w:rsidP="000760CC">
      <w:pPr>
        <w:widowControl w:val="0"/>
        <w:overflowPunct w:val="0"/>
        <w:autoSpaceDE w:val="0"/>
        <w:autoSpaceDN w:val="0"/>
        <w:adjustRightInd w:val="0"/>
        <w:textAlignment w:val="baseline"/>
        <w:rPr>
          <w:rFonts w:cs="Arial"/>
          <w:iCs/>
          <w:lang w:val="en-US" w:eastAsia="en-US"/>
        </w:rPr>
      </w:pPr>
      <w:r w:rsidRPr="000760CC">
        <w:rPr>
          <w:rFonts w:cs="Arial"/>
          <w:iCs/>
          <w:lang w:val="en-US" w:eastAsia="en-US"/>
        </w:rPr>
        <w:t>We draw attention to section (…)</w:t>
      </w:r>
      <w:r w:rsidR="009836FA">
        <w:rPr>
          <w:rStyle w:val="Voetnootmarkering"/>
          <w:rFonts w:cs="Arial"/>
          <w:iCs/>
          <w:lang w:val="en-US" w:eastAsia="en-US"/>
        </w:rPr>
        <w:footnoteReference w:id="10"/>
      </w:r>
      <w:r w:rsidR="009836FA">
        <w:rPr>
          <w:rFonts w:cs="Arial"/>
          <w:iCs/>
          <w:lang w:val="en-US" w:eastAsia="en-US"/>
        </w:rPr>
        <w:t xml:space="preserve"> </w:t>
      </w:r>
      <w:r w:rsidRPr="000760CC">
        <w:rPr>
          <w:rFonts w:cs="Arial"/>
          <w:iCs/>
          <w:lang w:val="en-US" w:eastAsia="en-US"/>
        </w:rPr>
        <w:t xml:space="preserve">in the sustainability statement. This disclosure explains future improvements in the ongoing due diligence and double materiality assessment process, including robust engagement with affected stakeholders. Due diligence is an on-going practice that responds to and may trigger changes in the company’s strategy, business model, activities, business relationships, operating, sourcing and selling contexts. The double materiality assessment process may also be impacted in time by sector-specific standards to be adopted. The sustainability statement may not include every impact, risk and opportunity or additional entity-specific disclosure that each individual stakeholder (group) may consider important in its own particular assessment. </w:t>
      </w:r>
    </w:p>
    <w:p w14:paraId="6F9BA1C3" w14:textId="77777777" w:rsidR="00A72AC2" w:rsidRDefault="00A72AC2" w:rsidP="002E0C3C">
      <w:pPr>
        <w:spacing w:after="1" w:line="288" w:lineRule="exact"/>
        <w:rPr>
          <w:rFonts w:cs="Arial"/>
          <w:lang w:val="en-GB"/>
        </w:rPr>
      </w:pPr>
    </w:p>
    <w:p w14:paraId="751C66BE" w14:textId="24544691" w:rsidR="004743BA" w:rsidRPr="004743BA" w:rsidRDefault="004743BA" w:rsidP="002E0C3C">
      <w:pPr>
        <w:spacing w:after="1" w:line="288" w:lineRule="exact"/>
        <w:rPr>
          <w:rFonts w:cs="Arial"/>
          <w:lang w:val="en-GB"/>
        </w:rPr>
      </w:pPr>
      <w:r w:rsidRPr="004743BA">
        <w:rPr>
          <w:rFonts w:cs="Arial"/>
          <w:lang w:val="en-US" w:eastAsia="en-US"/>
        </w:rPr>
        <w:t>Our conclusion is not modified in respect of th</w:t>
      </w:r>
      <w:r w:rsidR="00134E47">
        <w:rPr>
          <w:rFonts w:cs="Arial"/>
          <w:lang w:val="en-US" w:eastAsia="en-US"/>
        </w:rPr>
        <w:t>e</w:t>
      </w:r>
      <w:r w:rsidRPr="004743BA">
        <w:rPr>
          <w:rFonts w:cs="Arial"/>
          <w:lang w:val="en-US" w:eastAsia="en-US"/>
        </w:rPr>
        <w:t>s</w:t>
      </w:r>
      <w:r w:rsidR="00134E47">
        <w:rPr>
          <w:rFonts w:cs="Arial"/>
          <w:lang w:val="en-US" w:eastAsia="en-US"/>
        </w:rPr>
        <w:t>e</w:t>
      </w:r>
      <w:r w:rsidRPr="004743BA">
        <w:rPr>
          <w:rFonts w:cs="Arial"/>
          <w:lang w:val="en-US" w:eastAsia="en-US"/>
        </w:rPr>
        <w:t xml:space="preserve"> matter</w:t>
      </w:r>
      <w:r w:rsidR="00134E47">
        <w:rPr>
          <w:rFonts w:cs="Arial"/>
          <w:lang w:val="en-US" w:eastAsia="en-US"/>
        </w:rPr>
        <w:t>s</w:t>
      </w:r>
      <w:r w:rsidRPr="004743BA">
        <w:rPr>
          <w:rFonts w:cs="Arial"/>
          <w:lang w:val="en-US" w:eastAsia="en-US"/>
        </w:rPr>
        <w:t>.</w:t>
      </w:r>
    </w:p>
    <w:p w14:paraId="6919C250" w14:textId="77777777" w:rsidR="00803B8B" w:rsidRPr="00C51566" w:rsidRDefault="00803B8B" w:rsidP="001A439A">
      <w:pPr>
        <w:widowControl w:val="0"/>
        <w:overflowPunct w:val="0"/>
        <w:autoSpaceDE w:val="0"/>
        <w:autoSpaceDN w:val="0"/>
        <w:adjustRightInd w:val="0"/>
        <w:textAlignment w:val="baseline"/>
        <w:rPr>
          <w:rFonts w:cs="Arial"/>
          <w:b/>
          <w:lang w:val="en-GB" w:eastAsia="en-US"/>
        </w:rPr>
      </w:pPr>
    </w:p>
    <w:p w14:paraId="1C406F53" w14:textId="5E31E849" w:rsidR="00803B8B" w:rsidRPr="00BD03A2" w:rsidRDefault="00803B8B" w:rsidP="001A439A">
      <w:pPr>
        <w:widowControl w:val="0"/>
        <w:overflowPunct w:val="0"/>
        <w:autoSpaceDE w:val="0"/>
        <w:autoSpaceDN w:val="0"/>
        <w:adjustRightInd w:val="0"/>
        <w:textAlignment w:val="baseline"/>
        <w:rPr>
          <w:rFonts w:cs="Arial"/>
          <w:b/>
          <w:i/>
          <w:lang w:val="en-US" w:eastAsia="en-US"/>
        </w:rPr>
      </w:pPr>
      <w:r w:rsidRPr="00BD03A2">
        <w:rPr>
          <w:rFonts w:cs="Arial"/>
          <w:b/>
          <w:lang w:val="en-US" w:eastAsia="en-US"/>
        </w:rPr>
        <w:t>[</w:t>
      </w:r>
      <w:proofErr w:type="spellStart"/>
      <w:r w:rsidR="00CD65DA">
        <w:rPr>
          <w:rFonts w:cs="Arial"/>
          <w:b/>
          <w:i/>
          <w:lang w:val="en-US" w:eastAsia="en-US"/>
        </w:rPr>
        <w:t>Indien</w:t>
      </w:r>
      <w:proofErr w:type="spellEnd"/>
      <w:r w:rsidR="00CD65DA">
        <w:rPr>
          <w:rFonts w:cs="Arial"/>
          <w:b/>
          <w:i/>
          <w:lang w:val="en-US" w:eastAsia="en-US"/>
        </w:rPr>
        <w:t xml:space="preserve"> van </w:t>
      </w:r>
      <w:proofErr w:type="spellStart"/>
      <w:r w:rsidR="00CD65DA">
        <w:rPr>
          <w:rFonts w:cs="Arial"/>
          <w:b/>
          <w:i/>
          <w:lang w:val="en-US" w:eastAsia="en-US"/>
        </w:rPr>
        <w:t>toepassing</w:t>
      </w:r>
      <w:proofErr w:type="spellEnd"/>
      <w:r w:rsidRPr="00BD03A2">
        <w:rPr>
          <w:rFonts w:cs="Arial"/>
          <w:b/>
          <w:i/>
          <w:lang w:val="en-US" w:eastAsia="en-US"/>
        </w:rPr>
        <w:t xml:space="preserve">: </w:t>
      </w:r>
      <w:r w:rsidR="00BD03A2" w:rsidRPr="00BD03A2">
        <w:rPr>
          <w:rFonts w:cs="Arial"/>
          <w:b/>
          <w:i/>
          <w:lang w:val="en-US" w:eastAsia="en-US"/>
        </w:rPr>
        <w:t>Comparative</w:t>
      </w:r>
      <w:r w:rsidR="00502984" w:rsidRPr="00BD03A2">
        <w:rPr>
          <w:rFonts w:cs="Arial"/>
          <w:b/>
          <w:i/>
          <w:lang w:val="en-US" w:eastAsia="en-US"/>
        </w:rPr>
        <w:t xml:space="preserve"> </w:t>
      </w:r>
      <w:r w:rsidRPr="00BD03A2">
        <w:rPr>
          <w:rFonts w:cs="Arial"/>
          <w:b/>
          <w:i/>
          <w:lang w:val="en-US" w:eastAsia="en-US"/>
        </w:rPr>
        <w:t>information</w:t>
      </w:r>
      <w:r w:rsidR="00175E53" w:rsidRPr="00BD03A2">
        <w:rPr>
          <w:rFonts w:cs="Arial"/>
          <w:b/>
          <w:i/>
          <w:lang w:val="en-US" w:eastAsia="en-US"/>
        </w:rPr>
        <w:t xml:space="preserve"> not </w:t>
      </w:r>
      <w:r w:rsidR="00502984" w:rsidRPr="00BD03A2">
        <w:rPr>
          <w:rFonts w:cs="Arial"/>
          <w:b/>
          <w:i/>
          <w:lang w:val="en-US" w:eastAsia="en-US"/>
        </w:rPr>
        <w:t xml:space="preserve">subject to assurance </w:t>
      </w:r>
      <w:r w:rsidR="00C51566" w:rsidRPr="00BD03A2">
        <w:rPr>
          <w:rFonts w:cs="Arial"/>
          <w:b/>
          <w:i/>
          <w:lang w:val="en-US" w:eastAsia="en-US"/>
        </w:rPr>
        <w:t>procedures</w:t>
      </w:r>
    </w:p>
    <w:p w14:paraId="4EB495D2" w14:textId="79B37313" w:rsidR="00C51566" w:rsidRPr="00C51566" w:rsidRDefault="00C51566" w:rsidP="00C51566">
      <w:pPr>
        <w:widowControl w:val="0"/>
        <w:overflowPunct w:val="0"/>
        <w:autoSpaceDE w:val="0"/>
        <w:autoSpaceDN w:val="0"/>
        <w:adjustRightInd w:val="0"/>
        <w:textAlignment w:val="baseline"/>
        <w:rPr>
          <w:rFonts w:cs="Arial"/>
          <w:i/>
          <w:lang w:val="en-US" w:eastAsia="en-US"/>
        </w:rPr>
      </w:pPr>
      <w:r w:rsidRPr="00C51566">
        <w:rPr>
          <w:rFonts w:cs="Arial"/>
          <w:i/>
          <w:lang w:val="en-US" w:eastAsia="en-US"/>
        </w:rPr>
        <w:t>No reasonable or limited assurance procedures have been performed on the sustainability statement of prior year. Consequently, the</w:t>
      </w:r>
      <w:r w:rsidR="00480318">
        <w:rPr>
          <w:rFonts w:cs="Arial"/>
          <w:i/>
          <w:lang w:val="en-US" w:eastAsia="en-US"/>
        </w:rPr>
        <w:t xml:space="preserve"> </w:t>
      </w:r>
      <w:r w:rsidR="00BD03A2" w:rsidRPr="00BD03A2">
        <w:rPr>
          <w:rFonts w:cs="Arial"/>
          <w:i/>
          <w:lang w:val="en-US" w:eastAsia="en-US"/>
        </w:rPr>
        <w:t>comparative</w:t>
      </w:r>
      <w:r w:rsidRPr="00C51566">
        <w:rPr>
          <w:rFonts w:cs="Arial"/>
          <w:i/>
          <w:lang w:val="en-US" w:eastAsia="en-US"/>
        </w:rPr>
        <w:t xml:space="preserve"> information in the sustainability statement and thereto related disclosures for the year ended (datum) have not been subject to reasonable or limited assurance procedures.</w:t>
      </w:r>
    </w:p>
    <w:p w14:paraId="21006850" w14:textId="77777777" w:rsidR="00C51566" w:rsidRPr="00C51566" w:rsidRDefault="00C51566" w:rsidP="00C51566">
      <w:pPr>
        <w:widowControl w:val="0"/>
        <w:overflowPunct w:val="0"/>
        <w:autoSpaceDE w:val="0"/>
        <w:autoSpaceDN w:val="0"/>
        <w:adjustRightInd w:val="0"/>
        <w:textAlignment w:val="baseline"/>
        <w:rPr>
          <w:rFonts w:cs="Arial"/>
          <w:i/>
          <w:lang w:val="en-US" w:eastAsia="en-US"/>
        </w:rPr>
      </w:pPr>
    </w:p>
    <w:p w14:paraId="77A8F4CD" w14:textId="75034C28" w:rsidR="00C51566" w:rsidRPr="00C51566" w:rsidRDefault="00C51566" w:rsidP="00C51566">
      <w:pPr>
        <w:widowControl w:val="0"/>
        <w:overflowPunct w:val="0"/>
        <w:autoSpaceDE w:val="0"/>
        <w:autoSpaceDN w:val="0"/>
        <w:adjustRightInd w:val="0"/>
        <w:textAlignment w:val="baseline"/>
        <w:rPr>
          <w:rFonts w:cs="Arial"/>
          <w:i/>
          <w:lang w:val="en-US" w:eastAsia="en-US"/>
        </w:rPr>
      </w:pPr>
      <w:r w:rsidRPr="00C51566">
        <w:rPr>
          <w:rFonts w:cs="Arial"/>
          <w:i/>
          <w:lang w:val="en-US" w:eastAsia="en-US"/>
        </w:rPr>
        <w:t>Our conclusion is not modified in respect of this matter].</w:t>
      </w:r>
    </w:p>
    <w:p w14:paraId="31E23915" w14:textId="77777777" w:rsidR="00C51566" w:rsidRDefault="00C51566" w:rsidP="001A439A">
      <w:pPr>
        <w:widowControl w:val="0"/>
        <w:overflowPunct w:val="0"/>
        <w:autoSpaceDE w:val="0"/>
        <w:autoSpaceDN w:val="0"/>
        <w:adjustRightInd w:val="0"/>
        <w:textAlignment w:val="baseline"/>
        <w:rPr>
          <w:rFonts w:cs="Arial"/>
          <w:i/>
          <w:highlight w:val="yellow"/>
          <w:lang w:val="en-US" w:eastAsia="en-US"/>
        </w:rPr>
      </w:pPr>
    </w:p>
    <w:p w14:paraId="600F7A82" w14:textId="6300F63C" w:rsidR="00803B8B" w:rsidRPr="00F457AA" w:rsidRDefault="00803B8B" w:rsidP="001A439A">
      <w:pPr>
        <w:widowControl w:val="0"/>
        <w:overflowPunct w:val="0"/>
        <w:autoSpaceDE w:val="0"/>
        <w:autoSpaceDN w:val="0"/>
        <w:adjustRightInd w:val="0"/>
        <w:textAlignment w:val="baseline"/>
        <w:rPr>
          <w:rFonts w:cs="Arial"/>
          <w:b/>
          <w:lang w:val="en-US" w:eastAsia="en-US"/>
        </w:rPr>
      </w:pPr>
      <w:r w:rsidRPr="00F457AA">
        <w:rPr>
          <w:rFonts w:cs="Arial"/>
          <w:b/>
          <w:lang w:val="en-US" w:eastAsia="en-US"/>
        </w:rPr>
        <w:t xml:space="preserve">Limitations to the scope of our </w:t>
      </w:r>
      <w:r w:rsidR="00211E75" w:rsidRPr="00F457AA">
        <w:rPr>
          <w:rFonts w:cs="Arial"/>
          <w:b/>
          <w:lang w:val="en-US" w:eastAsia="en-US"/>
        </w:rPr>
        <w:t>assurance engagement</w:t>
      </w:r>
      <w:r w:rsidR="00211E75" w:rsidRPr="00F457AA" w:rsidDel="00211E75">
        <w:rPr>
          <w:rFonts w:cs="Arial"/>
          <w:b/>
          <w:lang w:val="en-US" w:eastAsia="en-US"/>
        </w:rPr>
        <w:t xml:space="preserve"> </w:t>
      </w:r>
    </w:p>
    <w:p w14:paraId="2E0DFD7E" w14:textId="37E0AD29" w:rsidR="00F457AA" w:rsidRPr="00F457AA" w:rsidRDefault="00F457AA" w:rsidP="00F457AA">
      <w:pPr>
        <w:widowControl w:val="0"/>
        <w:overflowPunct w:val="0"/>
        <w:autoSpaceDE w:val="0"/>
        <w:autoSpaceDN w:val="0"/>
        <w:adjustRightInd w:val="0"/>
        <w:textAlignment w:val="baseline"/>
        <w:rPr>
          <w:rFonts w:cs="Arial"/>
          <w:iCs/>
          <w:lang w:val="en-US" w:eastAsia="en-US"/>
        </w:rPr>
      </w:pPr>
      <w:r w:rsidRPr="00F457AA">
        <w:rPr>
          <w:rFonts w:cs="Arial"/>
          <w:iCs/>
          <w:lang w:val="en-US" w:eastAsia="en-US"/>
        </w:rPr>
        <w:t>In reporting forward-looking information in accordance with the ESRS, management</w:t>
      </w:r>
      <w:r w:rsidR="00252165">
        <w:rPr>
          <w:rStyle w:val="Voetnootmarkering"/>
          <w:rFonts w:cs="Arial"/>
          <w:iCs/>
          <w:lang w:val="en-US" w:eastAsia="en-US"/>
        </w:rPr>
        <w:footnoteReference w:id="11"/>
      </w:r>
      <w:r w:rsidRPr="00F457AA">
        <w:rPr>
          <w:rFonts w:cs="Arial"/>
          <w:iCs/>
          <w:lang w:val="en-US" w:eastAsia="en-US"/>
        </w:rPr>
        <w:t xml:space="preserve"> of the company is required to prepare the forward-looking information on the basis of disclosed assumptions about events that may occur in the future and possible future actions by the company. The actual outcome is likely to be different since anticipated events frequently do not occur as expected.  Forward-looking information relates to events and actions that have not yet occurred and may never occur. We do not provide assurance on the achievability of this forward-looking information.</w:t>
      </w:r>
    </w:p>
    <w:p w14:paraId="69C29759" w14:textId="72ED4772" w:rsidR="00F457AA" w:rsidRPr="0014611A" w:rsidRDefault="00F457AA" w:rsidP="00F457AA">
      <w:pPr>
        <w:spacing w:after="1" w:line="288" w:lineRule="exact"/>
        <w:rPr>
          <w:rFonts w:cs="Arial"/>
          <w:b/>
          <w:bCs/>
          <w:lang w:val="en-GB"/>
        </w:rPr>
      </w:pPr>
    </w:p>
    <w:p w14:paraId="69352398" w14:textId="77777777" w:rsidR="00F457AA" w:rsidRPr="0014611A" w:rsidRDefault="00F457AA" w:rsidP="00F457AA">
      <w:pPr>
        <w:spacing w:after="1" w:line="288" w:lineRule="exact"/>
        <w:rPr>
          <w:rFonts w:cs="Arial"/>
          <w:lang w:val="en-GB"/>
        </w:rPr>
      </w:pPr>
      <w:r w:rsidRPr="0014611A">
        <w:rPr>
          <w:rFonts w:cs="Arial"/>
          <w:lang w:val="en-GB"/>
        </w:rPr>
        <w:t>Our conclusion is not modified in respect of this matter.</w:t>
      </w:r>
    </w:p>
    <w:p w14:paraId="082B2F82" w14:textId="77777777" w:rsidR="00E10CA9" w:rsidRPr="007B30A7" w:rsidRDefault="00E10CA9" w:rsidP="00E10CA9">
      <w:pPr>
        <w:widowControl w:val="0"/>
        <w:overflowPunct w:val="0"/>
        <w:autoSpaceDE w:val="0"/>
        <w:autoSpaceDN w:val="0"/>
        <w:adjustRightInd w:val="0"/>
        <w:textAlignment w:val="baseline"/>
        <w:rPr>
          <w:rFonts w:cs="Arial"/>
          <w:i/>
          <w:highlight w:val="yellow"/>
          <w:lang w:val="en-US" w:eastAsia="en-US"/>
        </w:rPr>
      </w:pPr>
    </w:p>
    <w:p w14:paraId="2199B002" w14:textId="7D5B3775" w:rsidR="00803B8B" w:rsidRPr="00FB70A3" w:rsidRDefault="00803B8B" w:rsidP="001A439A">
      <w:pPr>
        <w:widowControl w:val="0"/>
        <w:overflowPunct w:val="0"/>
        <w:autoSpaceDE w:val="0"/>
        <w:autoSpaceDN w:val="0"/>
        <w:adjustRightInd w:val="0"/>
        <w:textAlignment w:val="baseline"/>
        <w:rPr>
          <w:rFonts w:cs="Arial"/>
          <w:b/>
          <w:lang w:val="en-US" w:eastAsia="en-US"/>
        </w:rPr>
      </w:pPr>
      <w:r w:rsidRPr="00FB70A3">
        <w:rPr>
          <w:rFonts w:cs="Arial"/>
          <w:b/>
          <w:lang w:val="en-US" w:eastAsia="en-US"/>
        </w:rPr>
        <w:t>Responsibilities of management</w:t>
      </w:r>
      <w:r w:rsidR="00944EBB" w:rsidRPr="00FB70A3">
        <w:rPr>
          <w:rStyle w:val="Voetnootmarkering"/>
          <w:rFonts w:cs="Arial"/>
          <w:b/>
          <w:lang w:val="en-US" w:eastAsia="en-US"/>
        </w:rPr>
        <w:footnoteReference w:id="12"/>
      </w:r>
      <w:r w:rsidRPr="00FB70A3">
        <w:rPr>
          <w:rFonts w:cs="Arial"/>
          <w:b/>
          <w:lang w:val="en-US" w:eastAsia="en-US"/>
        </w:rPr>
        <w:t xml:space="preserve"> </w:t>
      </w:r>
      <w:r w:rsidR="00CA7BAD" w:rsidRPr="00FB70A3">
        <w:rPr>
          <w:rFonts w:cs="Arial"/>
          <w:b/>
          <w:lang w:val="en-US" w:eastAsia="en-US"/>
        </w:rPr>
        <w:t>(</w:t>
      </w:r>
      <w:proofErr w:type="spellStart"/>
      <w:r w:rsidR="00CA7BAD" w:rsidRPr="00FB70A3">
        <w:rPr>
          <w:rFonts w:cs="Arial"/>
          <w:b/>
          <w:lang w:val="en-US" w:eastAsia="en-US"/>
        </w:rPr>
        <w:t>optioneel</w:t>
      </w:r>
      <w:proofErr w:type="spellEnd"/>
      <w:r w:rsidR="00CA7BAD" w:rsidRPr="00FB70A3">
        <w:rPr>
          <w:rFonts w:cs="Arial"/>
          <w:b/>
          <w:lang w:val="en-US" w:eastAsia="en-US"/>
        </w:rPr>
        <w:t xml:space="preserve">: </w:t>
      </w:r>
      <w:r w:rsidRPr="00FB70A3">
        <w:rPr>
          <w:rFonts w:cs="Arial"/>
          <w:b/>
          <w:lang w:val="en-US" w:eastAsia="en-US"/>
        </w:rPr>
        <w:t>and the supervisory board</w:t>
      </w:r>
      <w:r w:rsidR="00CA7BAD" w:rsidRPr="00FB70A3">
        <w:rPr>
          <w:rFonts w:cs="Arial"/>
          <w:b/>
          <w:lang w:val="en-US" w:eastAsia="en-US"/>
        </w:rPr>
        <w:t>)</w:t>
      </w:r>
      <w:r w:rsidRPr="00FB70A3">
        <w:rPr>
          <w:rFonts w:cs="Arial"/>
          <w:b/>
          <w:position w:val="6"/>
          <w:vertAlign w:val="superscript"/>
          <w:lang w:eastAsia="en-US"/>
        </w:rPr>
        <w:footnoteReference w:id="13"/>
      </w:r>
      <w:r w:rsidRPr="00FB70A3">
        <w:rPr>
          <w:rFonts w:cs="Arial"/>
          <w:b/>
          <w:lang w:val="en-US" w:eastAsia="en-US"/>
        </w:rPr>
        <w:t xml:space="preserve"> for the sustainability </w:t>
      </w:r>
      <w:r w:rsidR="002E74EC" w:rsidRPr="00FB70A3">
        <w:rPr>
          <w:rFonts w:cs="Arial"/>
          <w:b/>
          <w:lang w:val="en-US" w:eastAsia="en-US"/>
        </w:rPr>
        <w:t>statement</w:t>
      </w:r>
    </w:p>
    <w:p w14:paraId="75F12B4C" w14:textId="77777777" w:rsidR="0040119A" w:rsidRPr="00DD0350" w:rsidRDefault="0040119A" w:rsidP="00DD0350">
      <w:pPr>
        <w:widowControl w:val="0"/>
        <w:overflowPunct w:val="0"/>
        <w:autoSpaceDE w:val="0"/>
        <w:autoSpaceDN w:val="0"/>
        <w:adjustRightInd w:val="0"/>
        <w:textAlignment w:val="baseline"/>
        <w:rPr>
          <w:rFonts w:cs="Arial"/>
          <w:iCs/>
          <w:lang w:val="en-US" w:eastAsia="en-US"/>
        </w:rPr>
      </w:pPr>
      <w:r w:rsidRPr="00DD0350">
        <w:rPr>
          <w:rFonts w:cs="Arial"/>
          <w:iCs/>
          <w:lang w:val="en-US" w:eastAsia="en-US"/>
        </w:rPr>
        <w:t>Management is responsible for the preparation of the sustainability statement in accordance with the ESRS, including the double materiality assessment process carried out by the company as the basis for the sustainability statement and disclosure of material impacts, risks and opportunities in accordance with the ESRS. As part of the preparation of the sustainability statement, management is responsible for compliance with the reporting requirements provided for in Article 8 of Regulation (EU) 2020/852 (Taxonomy Regulation).</w:t>
      </w:r>
    </w:p>
    <w:p w14:paraId="4016EDE8" w14:textId="77777777" w:rsidR="0040119A" w:rsidRPr="00DD0350" w:rsidRDefault="0040119A" w:rsidP="00DD0350">
      <w:pPr>
        <w:widowControl w:val="0"/>
        <w:overflowPunct w:val="0"/>
        <w:autoSpaceDE w:val="0"/>
        <w:autoSpaceDN w:val="0"/>
        <w:adjustRightInd w:val="0"/>
        <w:textAlignment w:val="baseline"/>
        <w:rPr>
          <w:rFonts w:cs="Arial"/>
          <w:iCs/>
          <w:lang w:val="en-US" w:eastAsia="en-US"/>
        </w:rPr>
      </w:pPr>
    </w:p>
    <w:p w14:paraId="1F6BEAB2" w14:textId="33365903" w:rsidR="0040119A" w:rsidRPr="0014611A" w:rsidRDefault="002C1B2B" w:rsidP="0040119A">
      <w:pPr>
        <w:pStyle w:val="000"/>
        <w:rPr>
          <w:rFonts w:ascii="Arial" w:hAnsi="Arial" w:cs="Arial"/>
          <w:i/>
          <w:iCs/>
          <w:lang w:eastAsia="nl-NL"/>
        </w:rPr>
      </w:pPr>
      <w:r>
        <w:rPr>
          <w:rFonts w:ascii="Arial" w:hAnsi="Arial" w:cs="Arial"/>
          <w:lang w:eastAsia="nl-NL"/>
        </w:rPr>
        <w:t>[</w:t>
      </w:r>
      <w:r w:rsidR="0040119A" w:rsidRPr="0014611A">
        <w:rPr>
          <w:rFonts w:ascii="Arial" w:hAnsi="Arial" w:cs="Arial"/>
          <w:i/>
          <w:iCs/>
          <w:lang w:eastAsia="nl-NL"/>
        </w:rPr>
        <w:t xml:space="preserve">Indien additionele </w:t>
      </w:r>
      <w:proofErr w:type="spellStart"/>
      <w:r w:rsidR="0040119A" w:rsidRPr="0014611A">
        <w:rPr>
          <w:rFonts w:ascii="Arial" w:hAnsi="Arial" w:cs="Arial"/>
          <w:i/>
          <w:iCs/>
          <w:lang w:eastAsia="nl-NL"/>
        </w:rPr>
        <w:t>entiteitspecifieke</w:t>
      </w:r>
      <w:proofErr w:type="spellEnd"/>
      <w:r w:rsidR="0027051E">
        <w:rPr>
          <w:rFonts w:ascii="Arial" w:hAnsi="Arial" w:cs="Arial"/>
          <w:i/>
          <w:iCs/>
          <w:lang w:eastAsia="nl-NL"/>
        </w:rPr>
        <w:t xml:space="preserve"> </w:t>
      </w:r>
      <w:r w:rsidR="0040119A" w:rsidRPr="0014611A">
        <w:rPr>
          <w:rFonts w:ascii="Arial" w:hAnsi="Arial" w:cs="Arial"/>
          <w:i/>
          <w:iCs/>
          <w:lang w:eastAsia="nl-NL"/>
        </w:rPr>
        <w:t>toelichtingen (ESRS 1 paragraaf 11 en overgangsbepalingen in paragraaf 130 en 131) worden opgenomen in het duurzaamheidsverslag:</w:t>
      </w:r>
    </w:p>
    <w:p w14:paraId="0A176118" w14:textId="21140EC4" w:rsidR="0040119A" w:rsidRPr="002C1B2B" w:rsidRDefault="0040119A" w:rsidP="002C1B2B">
      <w:pPr>
        <w:widowControl w:val="0"/>
        <w:overflowPunct w:val="0"/>
        <w:autoSpaceDE w:val="0"/>
        <w:autoSpaceDN w:val="0"/>
        <w:adjustRightInd w:val="0"/>
        <w:textAlignment w:val="baseline"/>
        <w:rPr>
          <w:rFonts w:cs="Arial"/>
          <w:iCs/>
          <w:lang w:val="en-US" w:eastAsia="en-US"/>
        </w:rPr>
      </w:pPr>
      <w:r w:rsidRPr="002C1B2B">
        <w:rPr>
          <w:rFonts w:cs="Arial"/>
          <w:iCs/>
          <w:lang w:val="en-US" w:eastAsia="en-US"/>
        </w:rPr>
        <w:t xml:space="preserve">Management is also responsible for selecting and applying additional entity-specific disclosures to enable users to understand the company’s sustainability-related impacts, risks or opportunities and for determining that these additional entity-specific disclosures are suitable in the circumstances and in </w:t>
      </w:r>
      <w:r w:rsidRPr="002C1B2B">
        <w:rPr>
          <w:rFonts w:cs="Arial"/>
          <w:iCs/>
          <w:lang w:val="en-US" w:eastAsia="en-US"/>
        </w:rPr>
        <w:lastRenderedPageBreak/>
        <w:t>accordance with the ESRS</w:t>
      </w:r>
      <w:r w:rsidR="002C1B2B" w:rsidRPr="002C1B2B">
        <w:rPr>
          <w:rFonts w:cs="Arial"/>
          <w:iCs/>
          <w:lang w:val="en-US" w:eastAsia="en-US"/>
        </w:rPr>
        <w:t>]</w:t>
      </w:r>
      <w:r w:rsidRPr="002C1B2B">
        <w:rPr>
          <w:rFonts w:cs="Arial"/>
          <w:iCs/>
          <w:lang w:val="en-US" w:eastAsia="en-US"/>
        </w:rPr>
        <w:t>.</w:t>
      </w:r>
    </w:p>
    <w:p w14:paraId="3DF49290" w14:textId="77777777" w:rsidR="0040119A" w:rsidRPr="002C1B2B" w:rsidRDefault="0040119A" w:rsidP="002C1B2B">
      <w:pPr>
        <w:widowControl w:val="0"/>
        <w:overflowPunct w:val="0"/>
        <w:autoSpaceDE w:val="0"/>
        <w:autoSpaceDN w:val="0"/>
        <w:adjustRightInd w:val="0"/>
        <w:textAlignment w:val="baseline"/>
        <w:rPr>
          <w:rFonts w:cs="Arial"/>
          <w:iCs/>
          <w:lang w:val="en-US" w:eastAsia="en-US"/>
        </w:rPr>
      </w:pPr>
    </w:p>
    <w:p w14:paraId="6AA764AB" w14:textId="77777777" w:rsidR="0040119A" w:rsidRPr="002C1B2B" w:rsidRDefault="0040119A" w:rsidP="002C1B2B">
      <w:pPr>
        <w:widowControl w:val="0"/>
        <w:overflowPunct w:val="0"/>
        <w:autoSpaceDE w:val="0"/>
        <w:autoSpaceDN w:val="0"/>
        <w:adjustRightInd w:val="0"/>
        <w:textAlignment w:val="baseline"/>
        <w:rPr>
          <w:rFonts w:cs="Arial"/>
          <w:iCs/>
          <w:lang w:val="en-US" w:eastAsia="en-US"/>
        </w:rPr>
      </w:pPr>
      <w:r w:rsidRPr="002C1B2B">
        <w:rPr>
          <w:rFonts w:cs="Arial"/>
          <w:iCs/>
          <w:lang w:val="en-US" w:eastAsia="en-US"/>
        </w:rPr>
        <w:t>Furthermore, management is responsible for such internal control as it determines is necessary to enable the preparation of the sustainability statement that is free from material misstatement, whether due to fraud or error.</w:t>
      </w:r>
    </w:p>
    <w:p w14:paraId="1F9C22ED" w14:textId="77777777" w:rsidR="0040119A" w:rsidRPr="002C1B2B" w:rsidRDefault="0040119A" w:rsidP="002C1B2B">
      <w:pPr>
        <w:widowControl w:val="0"/>
        <w:overflowPunct w:val="0"/>
        <w:autoSpaceDE w:val="0"/>
        <w:autoSpaceDN w:val="0"/>
        <w:adjustRightInd w:val="0"/>
        <w:textAlignment w:val="baseline"/>
        <w:rPr>
          <w:rFonts w:cs="Arial"/>
          <w:iCs/>
          <w:lang w:val="en-US" w:eastAsia="en-US"/>
        </w:rPr>
      </w:pPr>
    </w:p>
    <w:p w14:paraId="43F497A5" w14:textId="47019F9B" w:rsidR="0040119A" w:rsidRPr="00430EA7" w:rsidRDefault="00430EA7" w:rsidP="00430EA7">
      <w:pPr>
        <w:widowControl w:val="0"/>
        <w:overflowPunct w:val="0"/>
        <w:autoSpaceDE w:val="0"/>
        <w:autoSpaceDN w:val="0"/>
        <w:adjustRightInd w:val="0"/>
        <w:textAlignment w:val="baseline"/>
        <w:rPr>
          <w:rFonts w:cs="Arial"/>
          <w:iCs/>
          <w:lang w:val="en-US" w:eastAsia="en-US"/>
        </w:rPr>
      </w:pPr>
      <w:r>
        <w:rPr>
          <w:rFonts w:cs="Arial"/>
          <w:iCs/>
          <w:lang w:val="en-US" w:eastAsia="en-US"/>
        </w:rPr>
        <w:t>[</w:t>
      </w:r>
      <w:proofErr w:type="spellStart"/>
      <w:r w:rsidR="0040119A" w:rsidRPr="003B59A1">
        <w:rPr>
          <w:rFonts w:cs="Arial"/>
          <w:i/>
          <w:lang w:val="en-US" w:eastAsia="en-US"/>
        </w:rPr>
        <w:t>Indien</w:t>
      </w:r>
      <w:proofErr w:type="spellEnd"/>
      <w:r w:rsidR="0040119A" w:rsidRPr="003B59A1">
        <w:rPr>
          <w:rFonts w:cs="Arial"/>
          <w:i/>
          <w:lang w:val="en-US" w:eastAsia="en-US"/>
        </w:rPr>
        <w:t xml:space="preserve"> van </w:t>
      </w:r>
      <w:proofErr w:type="spellStart"/>
      <w:r w:rsidR="0040119A" w:rsidRPr="003B59A1">
        <w:rPr>
          <w:rFonts w:cs="Arial"/>
          <w:i/>
          <w:lang w:val="en-US" w:eastAsia="en-US"/>
        </w:rPr>
        <w:t>toepassing</w:t>
      </w:r>
      <w:proofErr w:type="spellEnd"/>
      <w:r w:rsidRPr="003B59A1">
        <w:rPr>
          <w:rFonts w:cs="Arial"/>
          <w:i/>
          <w:lang w:val="en-US" w:eastAsia="en-US"/>
        </w:rPr>
        <w:t>:</w:t>
      </w:r>
      <w:r w:rsidR="0040119A" w:rsidRPr="00430EA7">
        <w:rPr>
          <w:rFonts w:cs="Arial"/>
          <w:iCs/>
          <w:lang w:val="en-US" w:eastAsia="en-US"/>
        </w:rPr>
        <w:t xml:space="preserve"> The supervisory board is responsible for overseeing the sustainability reporting process including the double materiality assessment process carried out by the company.</w:t>
      </w:r>
      <w:r>
        <w:rPr>
          <w:rFonts w:cs="Arial"/>
          <w:iCs/>
          <w:lang w:val="en-US" w:eastAsia="en-US"/>
        </w:rPr>
        <w:t>]</w:t>
      </w:r>
      <w:r w:rsidR="007A7C4A">
        <w:rPr>
          <w:rStyle w:val="Voetnootmarkering"/>
          <w:rFonts w:cs="Arial"/>
          <w:iCs/>
          <w:lang w:val="en-US" w:eastAsia="en-US"/>
        </w:rPr>
        <w:footnoteReference w:id="14"/>
      </w:r>
      <w:r w:rsidR="0040119A" w:rsidRPr="00430EA7">
        <w:rPr>
          <w:rFonts w:cs="Arial"/>
          <w:iCs/>
          <w:lang w:val="en-US" w:eastAsia="en-US"/>
        </w:rPr>
        <w:t xml:space="preserve"> </w:t>
      </w:r>
      <w:r w:rsidR="008E275A">
        <w:rPr>
          <w:rFonts w:cs="Arial"/>
          <w:iCs/>
          <w:lang w:val="en-US" w:eastAsia="en-US"/>
        </w:rPr>
        <w:t>]</w:t>
      </w:r>
    </w:p>
    <w:p w14:paraId="17B0D53C" w14:textId="77777777" w:rsidR="0040119A" w:rsidRDefault="0040119A" w:rsidP="00430EA7">
      <w:pPr>
        <w:widowControl w:val="0"/>
        <w:overflowPunct w:val="0"/>
        <w:autoSpaceDE w:val="0"/>
        <w:autoSpaceDN w:val="0"/>
        <w:adjustRightInd w:val="0"/>
        <w:textAlignment w:val="baseline"/>
        <w:rPr>
          <w:rFonts w:cs="Arial"/>
          <w:iCs/>
          <w:lang w:val="en-US" w:eastAsia="en-US"/>
        </w:rPr>
      </w:pPr>
    </w:p>
    <w:p w14:paraId="6F1B2AE3" w14:textId="4D8A0761" w:rsidR="00803B8B" w:rsidRPr="003B59A1" w:rsidRDefault="00803B8B" w:rsidP="001A439A">
      <w:pPr>
        <w:widowControl w:val="0"/>
        <w:overflowPunct w:val="0"/>
        <w:autoSpaceDE w:val="0"/>
        <w:autoSpaceDN w:val="0"/>
        <w:adjustRightInd w:val="0"/>
        <w:textAlignment w:val="baseline"/>
        <w:rPr>
          <w:rFonts w:cs="Arial"/>
          <w:b/>
          <w:lang w:val="en-US" w:eastAsia="en-US"/>
        </w:rPr>
      </w:pPr>
      <w:r w:rsidRPr="003B59A1">
        <w:rPr>
          <w:rFonts w:cs="Arial"/>
          <w:b/>
          <w:lang w:val="en-US" w:eastAsia="en-US"/>
        </w:rPr>
        <w:t xml:space="preserve">Our responsibilities for the </w:t>
      </w:r>
      <w:r w:rsidR="00CD62DF" w:rsidRPr="003B59A1">
        <w:rPr>
          <w:rFonts w:cs="Arial"/>
          <w:b/>
          <w:lang w:val="en-US" w:eastAsia="en-US"/>
        </w:rPr>
        <w:t xml:space="preserve">limited </w:t>
      </w:r>
      <w:r w:rsidR="006F201F" w:rsidRPr="003B59A1">
        <w:rPr>
          <w:rFonts w:cs="Arial"/>
          <w:b/>
          <w:lang w:val="en-US" w:eastAsia="en-US"/>
        </w:rPr>
        <w:t xml:space="preserve">assurance engagement on </w:t>
      </w:r>
      <w:r w:rsidRPr="003B59A1">
        <w:rPr>
          <w:rFonts w:cs="Arial"/>
          <w:b/>
          <w:lang w:val="en-US" w:eastAsia="en-US"/>
        </w:rPr>
        <w:t xml:space="preserve">the sustainability </w:t>
      </w:r>
      <w:r w:rsidR="00CD62DF" w:rsidRPr="003B59A1">
        <w:rPr>
          <w:rFonts w:cs="Arial"/>
          <w:b/>
          <w:lang w:val="en-US" w:eastAsia="en-US"/>
        </w:rPr>
        <w:t>statement</w:t>
      </w:r>
    </w:p>
    <w:p w14:paraId="4198317E" w14:textId="7EBBF42D" w:rsidR="003B59A1" w:rsidRPr="003B59A1" w:rsidRDefault="003B59A1" w:rsidP="003B59A1">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Our responsibility is to plan and perform the limited assurance engagement in a manner that allows us to obtain sufficient appropriate assurance evidence for our conclusion.</w:t>
      </w:r>
    </w:p>
    <w:p w14:paraId="06AF768F" w14:textId="77777777" w:rsidR="003B59A1" w:rsidRPr="003B59A1" w:rsidRDefault="003B59A1" w:rsidP="003B59A1">
      <w:pPr>
        <w:widowControl w:val="0"/>
        <w:overflowPunct w:val="0"/>
        <w:autoSpaceDE w:val="0"/>
        <w:autoSpaceDN w:val="0"/>
        <w:adjustRightInd w:val="0"/>
        <w:textAlignment w:val="baseline"/>
        <w:rPr>
          <w:rFonts w:cs="Arial"/>
          <w:iCs/>
          <w:lang w:val="en-US" w:eastAsia="en-US"/>
        </w:rPr>
      </w:pPr>
    </w:p>
    <w:p w14:paraId="1463FFE1" w14:textId="77777777" w:rsidR="003B59A1" w:rsidRPr="003B59A1" w:rsidRDefault="003B59A1" w:rsidP="003B59A1">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 xml:space="preserve">Our assurance engagement is aimed to obtain a limited level of assurance that the sustainability statement is free from material misstatements. The procedures vary in nature and timing from, and are less in extent than for a reasonable assurance engagement. Consequently, the level of assurance obtained in a limited assurance engagement is substantially lower than the assurance that would have been obtained had a reasonable assurance engagement been performed. </w:t>
      </w:r>
    </w:p>
    <w:p w14:paraId="5B5C097E" w14:textId="77777777" w:rsidR="003B59A1" w:rsidRPr="003B59A1" w:rsidRDefault="003B59A1" w:rsidP="003B59A1">
      <w:pPr>
        <w:widowControl w:val="0"/>
        <w:overflowPunct w:val="0"/>
        <w:autoSpaceDE w:val="0"/>
        <w:autoSpaceDN w:val="0"/>
        <w:adjustRightInd w:val="0"/>
        <w:textAlignment w:val="baseline"/>
        <w:rPr>
          <w:rFonts w:cs="Arial"/>
          <w:iCs/>
          <w:lang w:val="en-US" w:eastAsia="en-US"/>
        </w:rPr>
      </w:pPr>
    </w:p>
    <w:p w14:paraId="05A1BE0E" w14:textId="60C6009D" w:rsidR="003B59A1" w:rsidRPr="003B59A1" w:rsidRDefault="003B59A1" w:rsidP="003B59A1">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 xml:space="preserve">We apply the applicable quality management requirements pursuant to the </w:t>
      </w:r>
      <w:proofErr w:type="spellStart"/>
      <w:r w:rsidRPr="003B59A1">
        <w:rPr>
          <w:rFonts w:cs="Arial"/>
          <w:iCs/>
          <w:lang w:val="en-US" w:eastAsia="en-US"/>
        </w:rPr>
        <w:t>Nadere</w:t>
      </w:r>
      <w:proofErr w:type="spellEnd"/>
      <w:r w:rsidRPr="003B59A1">
        <w:rPr>
          <w:rFonts w:cs="Arial"/>
          <w:iCs/>
          <w:lang w:val="en-US" w:eastAsia="en-US"/>
        </w:rPr>
        <w:t xml:space="preserve"> </w:t>
      </w:r>
      <w:proofErr w:type="spellStart"/>
      <w:r w:rsidRPr="003B59A1">
        <w:rPr>
          <w:rFonts w:cs="Arial"/>
          <w:iCs/>
          <w:lang w:val="en-US" w:eastAsia="en-US"/>
        </w:rPr>
        <w:t>voorschriften</w:t>
      </w:r>
      <w:proofErr w:type="spellEnd"/>
      <w:r w:rsidRPr="003B59A1">
        <w:rPr>
          <w:rFonts w:cs="Arial"/>
          <w:iCs/>
          <w:lang w:val="en-US" w:eastAsia="en-US"/>
        </w:rPr>
        <w:t xml:space="preserve"> </w:t>
      </w:r>
      <w:proofErr w:type="spellStart"/>
      <w:r w:rsidRPr="003B59A1">
        <w:rPr>
          <w:rFonts w:cs="Arial"/>
          <w:iCs/>
          <w:lang w:val="en-US" w:eastAsia="en-US"/>
        </w:rPr>
        <w:t>kwaliteitsmanagement</w:t>
      </w:r>
      <w:proofErr w:type="spellEnd"/>
      <w:r w:rsidRPr="003B59A1">
        <w:rPr>
          <w:rFonts w:cs="Arial"/>
          <w:iCs/>
          <w:lang w:val="en-US" w:eastAsia="en-US"/>
        </w:rPr>
        <w:t xml:space="preserve"> (NV KM, regulations for quality management) </w:t>
      </w:r>
      <w:r w:rsidR="00201157">
        <w:rPr>
          <w:rFonts w:cs="Arial"/>
          <w:iCs/>
          <w:lang w:val="en-US" w:eastAsia="en-US"/>
        </w:rPr>
        <w:t>[</w:t>
      </w:r>
      <w:proofErr w:type="spellStart"/>
      <w:r w:rsidRPr="00201157">
        <w:rPr>
          <w:rFonts w:cs="Arial"/>
          <w:i/>
          <w:lang w:val="en-US" w:eastAsia="en-US"/>
        </w:rPr>
        <w:t>optioneel</w:t>
      </w:r>
      <w:proofErr w:type="spellEnd"/>
      <w:r w:rsidRPr="00201157">
        <w:rPr>
          <w:rFonts w:cs="Arial"/>
          <w:i/>
          <w:lang w:val="en-US" w:eastAsia="en-US"/>
        </w:rPr>
        <w:t>:</w:t>
      </w:r>
      <w:r w:rsidRPr="003B59A1">
        <w:rPr>
          <w:rFonts w:cs="Arial"/>
          <w:iCs/>
          <w:lang w:val="en-US" w:eastAsia="en-US"/>
        </w:rPr>
        <w:t xml:space="preserve"> and the International Standard on Quality Management (ISQM) 1</w:t>
      </w:r>
      <w:r w:rsidR="00201157">
        <w:rPr>
          <w:rFonts w:cs="Arial"/>
          <w:iCs/>
          <w:lang w:val="en-US" w:eastAsia="en-US"/>
        </w:rPr>
        <w:t>]</w:t>
      </w:r>
      <w:r w:rsidRPr="003B59A1">
        <w:rPr>
          <w:rFonts w:cs="Arial"/>
          <w:iCs/>
          <w:lang w:val="en-US" w:eastAsia="en-US"/>
        </w:rPr>
        <w:t xml:space="preserve">, and accordingly maintain a comprehensive system of quality management including documented policies and procedures regarding compliance with ethical requirements, professional standards and other relevant legal and regulatory requirements. </w:t>
      </w:r>
    </w:p>
    <w:p w14:paraId="2904CA19" w14:textId="77777777" w:rsidR="003B59A1" w:rsidRPr="003B59A1" w:rsidRDefault="003B59A1" w:rsidP="003B59A1">
      <w:pPr>
        <w:widowControl w:val="0"/>
        <w:overflowPunct w:val="0"/>
        <w:autoSpaceDE w:val="0"/>
        <w:autoSpaceDN w:val="0"/>
        <w:adjustRightInd w:val="0"/>
        <w:textAlignment w:val="baseline"/>
        <w:rPr>
          <w:rFonts w:cs="Arial"/>
          <w:iCs/>
          <w:lang w:val="en-US" w:eastAsia="en-US"/>
        </w:rPr>
      </w:pPr>
    </w:p>
    <w:p w14:paraId="37C9DE99" w14:textId="77777777" w:rsidR="003B59A1" w:rsidRPr="003B59A1" w:rsidRDefault="003B59A1" w:rsidP="003B59A1">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Our limited assurance engagement included among others:</w:t>
      </w:r>
    </w:p>
    <w:p w14:paraId="566D724A" w14:textId="77777777"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Performing inquiries and an analysis of the external environment and obtaining an understanding of relevant sustainability themes and issues, the characteristics of</w:t>
      </w:r>
      <w:r w:rsidRPr="00733C90" w:rsidDel="002B582E">
        <w:rPr>
          <w:rFonts w:cs="Arial"/>
          <w:lang w:val="en-US" w:eastAsia="en-US"/>
        </w:rPr>
        <w:t xml:space="preserve"> </w:t>
      </w:r>
      <w:r w:rsidRPr="00733C90">
        <w:rPr>
          <w:rFonts w:cs="Arial"/>
          <w:lang w:val="en-US" w:eastAsia="en-US"/>
        </w:rPr>
        <w:t>the company), its activities and the value chain and its key intangible resources in order to assess the double materiality assessment process carried out by the company as the basis for the sustainability statement and disclosure of all material sustainability-related impacts, risks and opportunities in accordance with the ESRS.</w:t>
      </w:r>
    </w:p>
    <w:p w14:paraId="3FC67180" w14:textId="75C43040"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Obtaining through inquiries a general understanding of the internal control environment, the company’s processes for gathering and reporting entity-related and value chain information, the information systems and the company’s risk assessment process relevant to the preparation of the sustainability statement and for identifying the company’s activities, determining eligible and aligned economic activities and prepare the disclosures provided for in Article 8 of Regulation (EU) 2020/852 (Taxonomy Regulation), without obtaining assurance information about the implementation</w:t>
      </w:r>
      <w:r w:rsidR="00C70CCB">
        <w:rPr>
          <w:rFonts w:cs="Arial"/>
          <w:lang w:val="en-US" w:eastAsia="en-US"/>
        </w:rPr>
        <w:t>,</w:t>
      </w:r>
      <w:r w:rsidRPr="00733C90">
        <w:rPr>
          <w:rFonts w:cs="Arial"/>
          <w:lang w:val="en-US" w:eastAsia="en-US"/>
        </w:rPr>
        <w:t xml:space="preserve"> or testing the operating effectiveness</w:t>
      </w:r>
      <w:r w:rsidR="00DD442F">
        <w:rPr>
          <w:rFonts w:cs="Arial"/>
          <w:lang w:val="en-US" w:eastAsia="en-US"/>
        </w:rPr>
        <w:t>,</w:t>
      </w:r>
      <w:r w:rsidRPr="00733C90">
        <w:rPr>
          <w:rFonts w:cs="Arial"/>
          <w:lang w:val="en-US" w:eastAsia="en-US"/>
        </w:rPr>
        <w:t xml:space="preserve"> of controls.</w:t>
      </w:r>
    </w:p>
    <w:p w14:paraId="3AFD1590" w14:textId="77777777"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Assessing the double materiality assessment process carried out by the company and identifying and assessing areas of the sustainability statement, including the disclosures provided for in Article 8 of Regulation (EU) 2020/852 (Taxonomy Regulation)  where misleading or unbalanced information or material misstatements, whether due to fraud or error, are likely to arise (‘selected disclosures’). We designed and performed further assurance procedures aimed at assessing that the sustainability statement is free from material misstatements responsive to this risk analysis.</w:t>
      </w:r>
    </w:p>
    <w:p w14:paraId="1A311BE4" w14:textId="647A4B8B"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whether the description of the double materiality assessment process in the sustainability statement made by [management] appears consistent with the process carried out by the company</w:t>
      </w:r>
      <w:r w:rsidR="00A43A4A">
        <w:rPr>
          <w:rFonts w:cs="Arial"/>
          <w:lang w:val="en-US" w:eastAsia="en-US"/>
        </w:rPr>
        <w:t>;</w:t>
      </w:r>
    </w:p>
    <w:p w14:paraId="6907C6DA" w14:textId="39C31224" w:rsidR="003B59A1" w:rsidRPr="00E17C34"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w:t>
      </w:r>
      <w:r w:rsidRPr="0091675C">
        <w:rPr>
          <w:rFonts w:cs="Arial"/>
          <w:i/>
          <w:iCs/>
          <w:lang w:val="en-US" w:eastAsia="en-US"/>
        </w:rPr>
        <w:t xml:space="preserve">In het </w:t>
      </w:r>
      <w:proofErr w:type="spellStart"/>
      <w:r w:rsidRPr="0091675C">
        <w:rPr>
          <w:rFonts w:cs="Arial"/>
          <w:i/>
          <w:iCs/>
          <w:lang w:val="en-US" w:eastAsia="en-US"/>
        </w:rPr>
        <w:t>geval</w:t>
      </w:r>
      <w:proofErr w:type="spellEnd"/>
      <w:r w:rsidRPr="0091675C">
        <w:rPr>
          <w:rFonts w:cs="Arial"/>
          <w:i/>
          <w:iCs/>
          <w:lang w:val="en-US" w:eastAsia="en-US"/>
        </w:rPr>
        <w:t xml:space="preserve"> </w:t>
      </w:r>
      <w:proofErr w:type="spellStart"/>
      <w:r w:rsidRPr="0091675C">
        <w:rPr>
          <w:rFonts w:cs="Arial"/>
          <w:i/>
          <w:iCs/>
          <w:lang w:val="en-US" w:eastAsia="en-US"/>
        </w:rPr>
        <w:t>dat</w:t>
      </w:r>
      <w:proofErr w:type="spellEnd"/>
      <w:r w:rsidRPr="0091675C">
        <w:rPr>
          <w:rFonts w:cs="Arial"/>
          <w:i/>
          <w:iCs/>
          <w:lang w:val="en-US" w:eastAsia="en-US"/>
        </w:rPr>
        <w:t xml:space="preserve"> </w:t>
      </w:r>
      <w:proofErr w:type="spellStart"/>
      <w:r w:rsidRPr="0091675C">
        <w:rPr>
          <w:rFonts w:cs="Arial"/>
          <w:i/>
          <w:iCs/>
          <w:lang w:val="en-US" w:eastAsia="en-US"/>
        </w:rPr>
        <w:t>significante</w:t>
      </w:r>
      <w:proofErr w:type="spellEnd"/>
      <w:r w:rsidRPr="0091675C">
        <w:rPr>
          <w:rFonts w:cs="Arial"/>
          <w:i/>
          <w:iCs/>
          <w:lang w:val="en-US" w:eastAsia="en-US"/>
        </w:rPr>
        <w:t xml:space="preserve"> </w:t>
      </w:r>
      <w:proofErr w:type="spellStart"/>
      <w:r w:rsidRPr="0091675C">
        <w:rPr>
          <w:rFonts w:cs="Arial"/>
          <w:i/>
          <w:iCs/>
          <w:lang w:val="en-US" w:eastAsia="en-US"/>
        </w:rPr>
        <w:t>groepsonderdelen</w:t>
      </w:r>
      <w:proofErr w:type="spellEnd"/>
      <w:r w:rsidRPr="0091675C">
        <w:rPr>
          <w:rFonts w:cs="Arial"/>
          <w:i/>
          <w:iCs/>
          <w:lang w:val="en-US" w:eastAsia="en-US"/>
        </w:rPr>
        <w:t xml:space="preserve"> </w:t>
      </w:r>
      <w:proofErr w:type="spellStart"/>
      <w:r w:rsidRPr="0091675C">
        <w:rPr>
          <w:rFonts w:cs="Arial"/>
          <w:i/>
          <w:iCs/>
          <w:lang w:val="en-US" w:eastAsia="en-US"/>
        </w:rPr>
        <w:t>zijn</w:t>
      </w:r>
      <w:proofErr w:type="spellEnd"/>
      <w:r w:rsidRPr="0091675C">
        <w:rPr>
          <w:rFonts w:cs="Arial"/>
          <w:i/>
          <w:iCs/>
          <w:lang w:val="en-US" w:eastAsia="en-US"/>
        </w:rPr>
        <w:t xml:space="preserve"> </w:t>
      </w:r>
      <w:proofErr w:type="spellStart"/>
      <w:r w:rsidRPr="0091675C">
        <w:rPr>
          <w:rFonts w:cs="Arial"/>
          <w:i/>
          <w:iCs/>
          <w:lang w:val="en-US" w:eastAsia="en-US"/>
        </w:rPr>
        <w:t>onderkend</w:t>
      </w:r>
      <w:proofErr w:type="spellEnd"/>
      <w:r w:rsidRPr="00733C90">
        <w:rPr>
          <w:rFonts w:cs="Arial"/>
          <w:lang w:val="en-US" w:eastAsia="en-US"/>
        </w:rPr>
        <w:t xml:space="preserve">: </w:t>
      </w:r>
      <w:r w:rsidRPr="00E17C34">
        <w:rPr>
          <w:rFonts w:cs="Arial"/>
          <w:lang w:val="en-US" w:eastAsia="en-US"/>
        </w:rPr>
        <w:t>Determining the nature and extent of the procedures to be performed for the group components and locations. For this, the nature, extent and/or risk profile of these components are decisive.)</w:t>
      </w:r>
      <w:r w:rsidR="006E2C30" w:rsidRPr="00E17C34">
        <w:rPr>
          <w:rFonts w:cs="Arial"/>
          <w:lang w:val="en-US" w:eastAsia="en-US"/>
        </w:rPr>
        <w:t>;</w:t>
      </w:r>
    </w:p>
    <w:p w14:paraId="6A648EE8" w14:textId="027C0EA6"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Performing analytical review procedures on quantitative information in the sustainability statement, including consideration of data and trends (</w:t>
      </w:r>
      <w:proofErr w:type="spellStart"/>
      <w:r w:rsidRPr="0091675C">
        <w:rPr>
          <w:rFonts w:cs="Arial"/>
          <w:i/>
          <w:iCs/>
          <w:lang w:val="en-US" w:eastAsia="en-US"/>
        </w:rPr>
        <w:t>optioneel</w:t>
      </w:r>
      <w:proofErr w:type="spellEnd"/>
      <w:r w:rsidRPr="00733C90">
        <w:rPr>
          <w:rFonts w:cs="Arial"/>
          <w:lang w:val="en-US" w:eastAsia="en-US"/>
        </w:rPr>
        <w:t xml:space="preserve">: </w:t>
      </w:r>
      <w:r w:rsidRPr="00910BAC">
        <w:rPr>
          <w:rFonts w:cs="Arial"/>
          <w:lang w:val="en-US" w:eastAsia="en-US"/>
        </w:rPr>
        <w:t>in the information submitted for consolidation at corporate level</w:t>
      </w:r>
      <w:r w:rsidR="00FD3B31" w:rsidRPr="00910BAC">
        <w:rPr>
          <w:rFonts w:cs="Arial"/>
          <w:lang w:val="en-US" w:eastAsia="en-US"/>
        </w:rPr>
        <w:t>.</w:t>
      </w:r>
      <w:r w:rsidRPr="00733C90">
        <w:rPr>
          <w:rFonts w:cs="Arial"/>
          <w:lang w:val="en-US" w:eastAsia="en-US"/>
        </w:rPr>
        <w:t>)</w:t>
      </w:r>
      <w:r w:rsidR="00FD3B31">
        <w:rPr>
          <w:rFonts w:cs="Arial"/>
          <w:lang w:val="en-US" w:eastAsia="en-US"/>
        </w:rPr>
        <w:t>;</w:t>
      </w:r>
    </w:p>
    <w:p w14:paraId="2ECB41D5" w14:textId="6C4AB278"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Assessing whether the company’s methods for developing estimates are appropriate and have been consistently applied for selected disclosures. We considered data and trends, however</w:t>
      </w:r>
      <w:r w:rsidR="00FC3CFD">
        <w:rPr>
          <w:rFonts w:cs="Arial"/>
          <w:lang w:val="en-US" w:eastAsia="en-US"/>
        </w:rPr>
        <w:t>,</w:t>
      </w:r>
      <w:r w:rsidRPr="00733C90">
        <w:rPr>
          <w:rFonts w:cs="Arial"/>
          <w:lang w:val="en-US" w:eastAsia="en-US"/>
        </w:rPr>
        <w:t xml:space="preserve"> our </w:t>
      </w:r>
      <w:r w:rsidRPr="00733C90">
        <w:rPr>
          <w:rFonts w:cs="Arial"/>
          <w:lang w:val="en-US" w:eastAsia="en-US"/>
        </w:rPr>
        <w:lastRenderedPageBreak/>
        <w:t>procedures did not include testing the data on which the estimates are based or separately developing our own estimates against which to evaluate [management]’s estimates</w:t>
      </w:r>
      <w:r w:rsidR="00FC3CFD">
        <w:rPr>
          <w:rFonts w:cs="Arial"/>
          <w:lang w:val="en-US" w:eastAsia="en-US"/>
        </w:rPr>
        <w:t>;</w:t>
      </w:r>
    </w:p>
    <w:p w14:paraId="46A96344" w14:textId="08ADA055"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proofErr w:type="spellStart"/>
      <w:r w:rsidRPr="00733C90">
        <w:rPr>
          <w:rFonts w:cs="Arial"/>
          <w:lang w:val="en-US" w:eastAsia="en-US"/>
        </w:rPr>
        <w:t>Analysing</w:t>
      </w:r>
      <w:proofErr w:type="spellEnd"/>
      <w:r w:rsidRPr="00733C90">
        <w:rPr>
          <w:rFonts w:cs="Arial"/>
          <w:lang w:val="en-US" w:eastAsia="en-US"/>
        </w:rPr>
        <w:t>, on a limited sample basis, relevant internal and external documentation available to the company (including publicly available information or information from actors throughout its value chain) for selected disclosures</w:t>
      </w:r>
      <w:r w:rsidR="00137DC9">
        <w:rPr>
          <w:rFonts w:cs="Arial"/>
          <w:lang w:val="en-US" w:eastAsia="en-US"/>
        </w:rPr>
        <w:t>;</w:t>
      </w:r>
    </w:p>
    <w:p w14:paraId="6B520E34" w14:textId="19B9A793"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Reading the other information in [the annual report] to identify material inconsistencies, if any, with the sustainability statement</w:t>
      </w:r>
      <w:r w:rsidR="00137DC9">
        <w:rPr>
          <w:rFonts w:cs="Arial"/>
          <w:lang w:val="en-US" w:eastAsia="en-US"/>
        </w:rPr>
        <w:t>;</w:t>
      </w:r>
    </w:p>
    <w:p w14:paraId="151D6C3A" w14:textId="77777777" w:rsidR="006C215D"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whether</w:t>
      </w:r>
      <w:r w:rsidR="006C215D">
        <w:rPr>
          <w:rFonts w:cs="Arial"/>
          <w:lang w:val="en-US" w:eastAsia="en-US"/>
        </w:rPr>
        <w:t>:</w:t>
      </w:r>
    </w:p>
    <w:p w14:paraId="6C630F91" w14:textId="2BF1A93F" w:rsidR="00112F49" w:rsidRDefault="003B59A1" w:rsidP="00B973B7">
      <w:pPr>
        <w:widowControl w:val="0"/>
        <w:numPr>
          <w:ilvl w:val="1"/>
          <w:numId w:val="91"/>
        </w:numPr>
        <w:overflowPunct w:val="0"/>
        <w:autoSpaceDE w:val="0"/>
        <w:autoSpaceDN w:val="0"/>
        <w:adjustRightInd w:val="0"/>
        <w:spacing w:line="260" w:lineRule="atLeast"/>
        <w:ind w:left="714" w:hanging="357"/>
        <w:textAlignment w:val="baseline"/>
        <w:rPr>
          <w:rFonts w:cs="Arial"/>
          <w:lang w:val="en-US" w:eastAsia="en-US"/>
        </w:rPr>
      </w:pPr>
      <w:r w:rsidRPr="00723ADB">
        <w:rPr>
          <w:rFonts w:cs="Arial"/>
          <w:lang w:val="en-US" w:eastAsia="en-US"/>
        </w:rPr>
        <w:t>the disclosures provided to address the reporting requirements provided for in Article 8 of Regulation (EU) 2020/852 (Taxonomy Regulation) for each of the environmental objectives</w:t>
      </w:r>
    </w:p>
    <w:p w14:paraId="192BCD9E" w14:textId="70F69D2E" w:rsidR="006C215D" w:rsidRPr="00723ADB" w:rsidRDefault="003B59A1" w:rsidP="00B973B7">
      <w:pPr>
        <w:widowControl w:val="0"/>
        <w:numPr>
          <w:ilvl w:val="2"/>
          <w:numId w:val="101"/>
        </w:numPr>
        <w:overflowPunct w:val="0"/>
        <w:autoSpaceDE w:val="0"/>
        <w:autoSpaceDN w:val="0"/>
        <w:adjustRightInd w:val="0"/>
        <w:spacing w:line="260" w:lineRule="atLeast"/>
        <w:ind w:left="851" w:hanging="142"/>
        <w:textAlignment w:val="baseline"/>
        <w:rPr>
          <w:rFonts w:cs="Arial"/>
          <w:lang w:val="en-US" w:eastAsia="en-US"/>
        </w:rPr>
      </w:pPr>
      <w:r w:rsidRPr="00723ADB">
        <w:rPr>
          <w:rFonts w:cs="Arial"/>
          <w:lang w:val="en-US" w:eastAsia="en-US"/>
        </w:rPr>
        <w:t>reconcile with the underlying records of the company and</w:t>
      </w:r>
      <w:r w:rsidR="00723ADB">
        <w:rPr>
          <w:rFonts w:cs="Arial"/>
          <w:lang w:val="en-US" w:eastAsia="en-US"/>
        </w:rPr>
        <w:t xml:space="preserve"> </w:t>
      </w:r>
      <w:r w:rsidRPr="00723ADB">
        <w:rPr>
          <w:rFonts w:cs="Arial"/>
          <w:lang w:val="en-US" w:eastAsia="en-US"/>
        </w:rPr>
        <w:t>are consistent or coherent with the sustainability statement</w:t>
      </w:r>
      <w:r w:rsidR="006C215D" w:rsidRPr="00723ADB">
        <w:rPr>
          <w:rFonts w:cs="Arial"/>
          <w:lang w:val="en-US" w:eastAsia="en-US"/>
        </w:rPr>
        <w:t>;</w:t>
      </w:r>
    </w:p>
    <w:p w14:paraId="335A69EB" w14:textId="77777777" w:rsidR="00112F49" w:rsidRDefault="003B59A1" w:rsidP="00B973B7">
      <w:pPr>
        <w:widowControl w:val="0"/>
        <w:numPr>
          <w:ilvl w:val="2"/>
          <w:numId w:val="101"/>
        </w:numPr>
        <w:overflowPunct w:val="0"/>
        <w:autoSpaceDE w:val="0"/>
        <w:autoSpaceDN w:val="0"/>
        <w:adjustRightInd w:val="0"/>
        <w:spacing w:line="260" w:lineRule="atLeast"/>
        <w:ind w:left="851" w:hanging="142"/>
        <w:textAlignment w:val="baseline"/>
        <w:rPr>
          <w:rFonts w:cs="Arial"/>
          <w:lang w:val="en-US" w:eastAsia="en-US"/>
        </w:rPr>
      </w:pPr>
      <w:r w:rsidRPr="00733C90">
        <w:rPr>
          <w:rFonts w:cs="Arial"/>
          <w:lang w:val="en-US" w:eastAsia="en-US"/>
        </w:rPr>
        <w:t>appear reasonable, in particular whether the eligible economic activities meet the cumulative conditions to qualify as aligned and whether the technical screening criteria are met</w:t>
      </w:r>
      <w:r w:rsidR="008D00DF">
        <w:rPr>
          <w:rFonts w:cs="Arial"/>
          <w:lang w:val="en-US" w:eastAsia="en-US"/>
        </w:rPr>
        <w:t>;</w:t>
      </w:r>
    </w:p>
    <w:p w14:paraId="267AC717" w14:textId="3FF8D440" w:rsidR="008D00DF" w:rsidRDefault="008D00DF" w:rsidP="00B973B7">
      <w:pPr>
        <w:widowControl w:val="0"/>
        <w:overflowPunct w:val="0"/>
        <w:autoSpaceDE w:val="0"/>
        <w:autoSpaceDN w:val="0"/>
        <w:adjustRightInd w:val="0"/>
        <w:spacing w:line="260" w:lineRule="atLeast"/>
        <w:ind w:left="709"/>
        <w:textAlignment w:val="baseline"/>
        <w:rPr>
          <w:rFonts w:cs="Arial"/>
          <w:lang w:val="en-US" w:eastAsia="en-US"/>
        </w:rPr>
      </w:pPr>
      <w:r>
        <w:rPr>
          <w:rFonts w:cs="Arial"/>
          <w:lang w:val="en-US" w:eastAsia="en-US"/>
        </w:rPr>
        <w:t>and</w:t>
      </w:r>
    </w:p>
    <w:p w14:paraId="45F7CD50" w14:textId="47F37816" w:rsidR="003B59A1" w:rsidRPr="00733C90" w:rsidRDefault="003B59A1" w:rsidP="00B973B7">
      <w:pPr>
        <w:widowControl w:val="0"/>
        <w:numPr>
          <w:ilvl w:val="1"/>
          <w:numId w:val="91"/>
        </w:numPr>
        <w:overflowPunct w:val="0"/>
        <w:autoSpaceDE w:val="0"/>
        <w:autoSpaceDN w:val="0"/>
        <w:adjustRightInd w:val="0"/>
        <w:spacing w:line="260" w:lineRule="atLeast"/>
        <w:ind w:left="714" w:hanging="357"/>
        <w:textAlignment w:val="baseline"/>
        <w:rPr>
          <w:rFonts w:cs="Arial"/>
          <w:lang w:val="en-US" w:eastAsia="en-US"/>
        </w:rPr>
      </w:pPr>
      <w:r w:rsidRPr="00733C90">
        <w:rPr>
          <w:rFonts w:cs="Arial"/>
          <w:lang w:val="en-US" w:eastAsia="en-US"/>
        </w:rPr>
        <w:t>the key performance indicators disclosures have been defined and calculated in accordance with the Taxonomy reference framework as defined in Appendix 1 Glossary of Terms of the CEAOB Guidelines on limited assurance on sustainability reporting adopted on 30 September 2024</w:t>
      </w:r>
      <w:r w:rsidR="00995227">
        <w:rPr>
          <w:rStyle w:val="Voetnootmarkering"/>
          <w:rFonts w:cs="Arial"/>
          <w:lang w:val="en-US" w:eastAsia="en-US"/>
        </w:rPr>
        <w:footnoteReference w:id="15"/>
      </w:r>
      <w:r w:rsidRPr="00733C90">
        <w:rPr>
          <w:rFonts w:cs="Arial"/>
          <w:lang w:val="en-US" w:eastAsia="en-US"/>
        </w:rPr>
        <w:t>, and in compliance with the reporting requirements provided for in Article 8 of Regulation (EU) 2020/852 (Taxonomy Regulation), including the format in which the activities are presented</w:t>
      </w:r>
      <w:r w:rsidR="002C48CE">
        <w:rPr>
          <w:rFonts w:cs="Arial"/>
          <w:lang w:val="en-US" w:eastAsia="en-US"/>
        </w:rPr>
        <w:t>;</w:t>
      </w:r>
    </w:p>
    <w:p w14:paraId="4E8C499B" w14:textId="039AEE95"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the overall presentation, structure and the fundamental qualitative characteristics of information (relevance and faithful representation: complete, neutral and accurate) reported in the sustainability statement, including the reporting requirements provided for in Article 8 of Regulation (EU) 2020/852 (Taxonomy Regulation)</w:t>
      </w:r>
      <w:r w:rsidR="00C15ACA">
        <w:rPr>
          <w:rFonts w:cs="Arial"/>
          <w:lang w:val="en-US" w:eastAsia="en-US"/>
        </w:rPr>
        <w:t>; and</w:t>
      </w:r>
    </w:p>
    <w:p w14:paraId="76F0AD73" w14:textId="16D2F6E1" w:rsidR="003B59A1" w:rsidRPr="00733C90" w:rsidRDefault="003B59A1" w:rsidP="00733C9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w:t>
      </w:r>
      <w:r w:rsidR="00C15ACA">
        <w:rPr>
          <w:rFonts w:cs="Arial"/>
          <w:lang w:val="en-US" w:eastAsia="en-US"/>
        </w:rPr>
        <w:t>,</w:t>
      </w:r>
      <w:r w:rsidRPr="00733C90">
        <w:rPr>
          <w:rFonts w:cs="Arial"/>
          <w:lang w:val="en-US" w:eastAsia="en-US"/>
        </w:rPr>
        <w:t xml:space="preserve"> based on our limited assurance procedures and evaluation of the assurance evidence obtained, whether the sustainability statement as a whole, is free from material misstatements and prepared in accordance with the ESRS.</w:t>
      </w:r>
    </w:p>
    <w:p w14:paraId="3580A8B5" w14:textId="77777777" w:rsidR="003B59A1" w:rsidRPr="003B59A1" w:rsidRDefault="003B59A1" w:rsidP="001A439A">
      <w:pPr>
        <w:widowControl w:val="0"/>
        <w:overflowPunct w:val="0"/>
        <w:autoSpaceDE w:val="0"/>
        <w:autoSpaceDN w:val="0"/>
        <w:adjustRightInd w:val="0"/>
        <w:textAlignment w:val="baseline"/>
        <w:rPr>
          <w:rFonts w:cs="Arial"/>
          <w:highlight w:val="yellow"/>
          <w:lang w:val="en-GB" w:eastAsia="en-US"/>
        </w:rPr>
      </w:pPr>
    </w:p>
    <w:p w14:paraId="1F3EC018" w14:textId="77777777" w:rsidR="00803B8B" w:rsidRPr="003B59A1" w:rsidRDefault="00803B8B" w:rsidP="001A439A">
      <w:pPr>
        <w:widowControl w:val="0"/>
        <w:overflowPunct w:val="0"/>
        <w:autoSpaceDE w:val="0"/>
        <w:autoSpaceDN w:val="0"/>
        <w:adjustRightInd w:val="0"/>
        <w:textAlignment w:val="baseline"/>
        <w:rPr>
          <w:rFonts w:cs="Arial"/>
          <w:lang w:val="en-US" w:eastAsia="en-US"/>
        </w:rPr>
      </w:pPr>
    </w:p>
    <w:p w14:paraId="455C120A" w14:textId="77777777" w:rsidR="00803B8B" w:rsidRPr="003B59A1" w:rsidRDefault="00803B8B" w:rsidP="001A439A">
      <w:pPr>
        <w:widowControl w:val="0"/>
        <w:rPr>
          <w:rFonts w:cs="Arial"/>
          <w:lang w:eastAsia="en-US"/>
        </w:rPr>
      </w:pPr>
      <w:r w:rsidRPr="003B59A1">
        <w:rPr>
          <w:rFonts w:cs="Arial"/>
          <w:lang w:eastAsia="en-US"/>
        </w:rPr>
        <w:t>Plaats en datum</w:t>
      </w:r>
    </w:p>
    <w:p w14:paraId="782CE1BF" w14:textId="77777777" w:rsidR="00803B8B" w:rsidRPr="003B59A1" w:rsidRDefault="00803B8B" w:rsidP="001A439A">
      <w:pPr>
        <w:widowControl w:val="0"/>
        <w:rPr>
          <w:rFonts w:cs="Arial"/>
          <w:lang w:eastAsia="en-US"/>
        </w:rPr>
      </w:pPr>
    </w:p>
    <w:p w14:paraId="6CDD4D9A" w14:textId="77777777" w:rsidR="00803B8B" w:rsidRPr="003B59A1" w:rsidRDefault="00803B8B" w:rsidP="001A439A">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00F6F879" w14:textId="77777777" w:rsidR="00803B8B" w:rsidRPr="003B59A1" w:rsidRDefault="00803B8B" w:rsidP="001A439A">
      <w:pPr>
        <w:widowControl w:val="0"/>
        <w:overflowPunct w:val="0"/>
        <w:autoSpaceDE w:val="0"/>
        <w:autoSpaceDN w:val="0"/>
        <w:adjustRightInd w:val="0"/>
        <w:textAlignment w:val="baseline"/>
        <w:rPr>
          <w:rFonts w:cs="Arial"/>
          <w:lang w:eastAsia="en-US"/>
        </w:rPr>
      </w:pPr>
    </w:p>
    <w:p w14:paraId="1DA6E03F"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headerReference w:type="first" r:id="rId11"/>
          <w:footnotePr>
            <w:numRestart w:val="eachSect"/>
          </w:footnotePr>
          <w:pgSz w:w="11907" w:h="16840" w:code="9"/>
          <w:pgMar w:top="1418" w:right="1247" w:bottom="1247" w:left="1418" w:header="1077" w:footer="709" w:gutter="0"/>
          <w:cols w:space="0"/>
          <w:docGrid w:linePitch="299"/>
        </w:sectPr>
      </w:pPr>
      <w:r w:rsidRPr="003B59A1">
        <w:rPr>
          <w:rFonts w:cs="Arial"/>
          <w:lang w:eastAsia="en-US"/>
        </w:rPr>
        <w:t>... (naam accountant)</w:t>
      </w:r>
    </w:p>
    <w:bookmarkEnd w:id="6"/>
    <w:bookmarkEnd w:id="7"/>
    <w:bookmarkEnd w:id="8"/>
    <w:bookmarkEnd w:id="9"/>
    <w:bookmarkEnd w:id="10"/>
    <w:bookmarkEnd w:id="11"/>
    <w:bookmarkEnd w:id="12"/>
    <w:bookmarkEnd w:id="13"/>
    <w:p w14:paraId="7AD29FDD" w14:textId="67B338F4" w:rsidR="006722AA" w:rsidRPr="00C2635D" w:rsidRDefault="006722AA" w:rsidP="007B30A7">
      <w:pPr>
        <w:widowControl w:val="0"/>
        <w:overflowPunct w:val="0"/>
        <w:autoSpaceDE w:val="0"/>
        <w:autoSpaceDN w:val="0"/>
        <w:adjustRightInd w:val="0"/>
        <w:textAlignment w:val="baseline"/>
        <w:rPr>
          <w:rFonts w:cs="Arial"/>
        </w:rPr>
      </w:pPr>
    </w:p>
    <w:sectPr w:rsidR="006722AA" w:rsidRPr="00C2635D" w:rsidSect="007B30A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418" w:bottom="1247" w:left="1418" w:header="1077" w:footer="709"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F1F33" w14:textId="77777777" w:rsidR="00D13AA3" w:rsidRDefault="00D13AA3">
      <w:r>
        <w:separator/>
      </w:r>
    </w:p>
  </w:endnote>
  <w:endnote w:type="continuationSeparator" w:id="0">
    <w:p w14:paraId="6C979A24" w14:textId="77777777" w:rsidR="00D13AA3" w:rsidRDefault="00D13AA3">
      <w:r>
        <w:continuationSeparator/>
      </w:r>
    </w:p>
  </w:endnote>
  <w:endnote w:type="continuationNotice" w:id="1">
    <w:p w14:paraId="3ED7D56D" w14:textId="77777777" w:rsidR="00D13AA3" w:rsidRDefault="00D13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YInterstate Light">
    <w:altName w:val="Calibri"/>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A458" w14:textId="77777777" w:rsidR="0057200E" w:rsidRDefault="0057200E">
    <w:pPr>
      <w:pStyle w:val="Voettekst"/>
    </w:pPr>
  </w:p>
  <w:p w14:paraId="2C269F89" w14:textId="77777777" w:rsidR="0057200E" w:rsidRDefault="00572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B20F" w14:textId="77777777" w:rsidR="005B281E" w:rsidRDefault="005B281E">
    <w:pPr>
      <w:pStyle w:val="Voettekst"/>
      <w:jc w:val="center"/>
    </w:pPr>
    <w:r>
      <w:fldChar w:fldCharType="begin"/>
    </w:r>
    <w:r>
      <w:instrText>PAGE   \* MERGEFORMAT</w:instrText>
    </w:r>
    <w:r>
      <w:fldChar w:fldCharType="separate"/>
    </w:r>
    <w:r>
      <w:t>2</w:t>
    </w:r>
    <w:r>
      <w:fldChar w:fldCharType="end"/>
    </w:r>
  </w:p>
  <w:p w14:paraId="247FA851" w14:textId="77777777" w:rsidR="0057200E" w:rsidRPr="006F086B" w:rsidRDefault="0057200E" w:rsidP="006F086B">
    <w:pPr>
      <w:pStyle w:val="Voettekst"/>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6A747" w14:textId="77777777" w:rsidR="0057200E" w:rsidRDefault="00572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35CD9" w14:textId="77777777" w:rsidR="00D13AA3" w:rsidRDefault="00D13AA3">
      <w:r>
        <w:separator/>
      </w:r>
    </w:p>
  </w:footnote>
  <w:footnote w:type="continuationSeparator" w:id="0">
    <w:p w14:paraId="279F3EAB" w14:textId="77777777" w:rsidR="00D13AA3" w:rsidRDefault="00D13AA3">
      <w:r>
        <w:continuationSeparator/>
      </w:r>
    </w:p>
  </w:footnote>
  <w:footnote w:type="continuationNotice" w:id="1">
    <w:p w14:paraId="1A7CAE3C" w14:textId="77777777" w:rsidR="00D13AA3" w:rsidRDefault="00D13AA3"/>
  </w:footnote>
  <w:footnote w:id="2">
    <w:p w14:paraId="13FF8979" w14:textId="77777777" w:rsidR="00AC0F64" w:rsidRPr="000A5E75" w:rsidRDefault="00AC0F64" w:rsidP="00AC0F64">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3">
    <w:p w14:paraId="72AA7194" w14:textId="480E9FD8" w:rsidR="00D1268B" w:rsidRPr="004C504A" w:rsidRDefault="00D1268B" w:rsidP="00D1268B">
      <w:pPr>
        <w:pStyle w:val="Voetnoottekst"/>
        <w:rPr>
          <w:rFonts w:ascii="Arial" w:hAnsi="Arial" w:cs="Arial"/>
          <w:sz w:val="16"/>
          <w:szCs w:val="16"/>
        </w:rPr>
      </w:pPr>
      <w:r w:rsidRPr="004C504A">
        <w:rPr>
          <w:rStyle w:val="Voetnootmarkering"/>
          <w:rFonts w:ascii="Arial" w:hAnsi="Arial" w:cs="Arial"/>
          <w:sz w:val="16"/>
          <w:szCs w:val="16"/>
        </w:rPr>
        <w:footnoteRef/>
      </w:r>
      <w:r w:rsidRPr="004C504A">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w:t>
      </w:r>
      <w:r w:rsidR="007C0A88">
        <w:rPr>
          <w:rFonts w:ascii="Arial" w:hAnsi="Arial" w:cs="Arial"/>
          <w:sz w:val="16"/>
          <w:szCs w:val="16"/>
        </w:rPr>
        <w:t>het bestuur</w:t>
      </w:r>
      <w:r w:rsidRPr="004C504A">
        <w:rPr>
          <w:rFonts w:ascii="Arial" w:hAnsi="Arial" w:cs="Arial"/>
          <w:sz w:val="16"/>
          <w:szCs w:val="16"/>
        </w:rPr>
        <w:t>.</w:t>
      </w:r>
    </w:p>
  </w:footnote>
  <w:footnote w:id="4">
    <w:p w14:paraId="618900A6" w14:textId="421D8E36" w:rsidR="001C066A" w:rsidRPr="00F740AD" w:rsidRDefault="001C066A">
      <w:pPr>
        <w:pStyle w:val="Voetnoottekst"/>
        <w:rPr>
          <w:rFonts w:ascii="Arial" w:hAnsi="Arial" w:cs="Arial"/>
          <w:sz w:val="16"/>
          <w:szCs w:val="16"/>
        </w:rPr>
      </w:pPr>
      <w:r w:rsidRPr="00CB4656">
        <w:rPr>
          <w:rFonts w:ascii="Arial" w:hAnsi="Arial" w:cs="Arial"/>
          <w:sz w:val="16"/>
          <w:szCs w:val="16"/>
          <w:vertAlign w:val="superscript"/>
        </w:rPr>
        <w:footnoteRef/>
      </w:r>
      <w:r w:rsidRPr="00F740AD">
        <w:rPr>
          <w:rFonts w:ascii="Arial" w:hAnsi="Arial" w:cs="Arial"/>
          <w:sz w:val="16"/>
          <w:szCs w:val="16"/>
        </w:rPr>
        <w:t xml:space="preserve"> Identificeer duidelijk het aparte onderdeel van het </w:t>
      </w:r>
      <w:proofErr w:type="spellStart"/>
      <w:r w:rsidRPr="00F740AD">
        <w:rPr>
          <w:rFonts w:ascii="Arial" w:hAnsi="Arial" w:cs="Arial"/>
          <w:sz w:val="16"/>
          <w:szCs w:val="16"/>
        </w:rPr>
        <w:t>bestuursverslag</w:t>
      </w:r>
      <w:proofErr w:type="spellEnd"/>
      <w:r w:rsidRPr="00F740AD">
        <w:rPr>
          <w:rFonts w:ascii="Arial" w:hAnsi="Arial" w:cs="Arial"/>
          <w:sz w:val="16"/>
          <w:szCs w:val="16"/>
        </w:rPr>
        <w:t xml:space="preserve"> dat het duurzaamheidsverslag bevat.</w:t>
      </w:r>
    </w:p>
  </w:footnote>
  <w:footnote w:id="5">
    <w:p w14:paraId="75161F35" w14:textId="494768CC" w:rsidR="00F740AD" w:rsidRPr="00F740AD" w:rsidRDefault="00F740AD">
      <w:pPr>
        <w:pStyle w:val="Voetnoottekst"/>
        <w:rPr>
          <w:rFonts w:ascii="Arial" w:hAnsi="Arial" w:cs="Arial"/>
          <w:sz w:val="16"/>
          <w:szCs w:val="16"/>
        </w:rPr>
      </w:pPr>
      <w:r w:rsidRPr="00CB4656">
        <w:rPr>
          <w:rFonts w:ascii="Arial" w:hAnsi="Arial" w:cs="Arial"/>
          <w:sz w:val="16"/>
          <w:szCs w:val="16"/>
          <w:vertAlign w:val="superscript"/>
        </w:rPr>
        <w:footnoteRef/>
      </w:r>
      <w:r w:rsidRPr="00F740AD">
        <w:rPr>
          <w:rFonts w:ascii="Arial" w:hAnsi="Arial" w:cs="Arial"/>
          <w:sz w:val="16"/>
          <w:szCs w:val="16"/>
        </w:rPr>
        <w:t xml:space="preserve"> De naam van het </w:t>
      </w:r>
      <w:proofErr w:type="spellStart"/>
      <w:r w:rsidRPr="00F740AD">
        <w:rPr>
          <w:rFonts w:ascii="Arial" w:hAnsi="Arial" w:cs="Arial"/>
          <w:sz w:val="16"/>
          <w:szCs w:val="16"/>
        </w:rPr>
        <w:t>bestuursverslag</w:t>
      </w:r>
      <w:proofErr w:type="spellEnd"/>
      <w:r w:rsidRPr="00F740AD">
        <w:rPr>
          <w:rFonts w:ascii="Arial" w:hAnsi="Arial" w:cs="Arial"/>
          <w:sz w:val="16"/>
          <w:szCs w:val="16"/>
        </w:rPr>
        <w:t xml:space="preserve"> aanpassen aan de benaming die door de entiteit wordt gebruikt.</w:t>
      </w:r>
    </w:p>
  </w:footnote>
  <w:footnote w:id="6">
    <w:p w14:paraId="066B5BFE" w14:textId="27A51FD5" w:rsidR="002F68E4" w:rsidRPr="002F68E4" w:rsidRDefault="002F68E4">
      <w:pPr>
        <w:pStyle w:val="Voetnoottekst"/>
        <w:rPr>
          <w:rFonts w:ascii="Arial" w:hAnsi="Arial" w:cs="Arial"/>
          <w:sz w:val="16"/>
          <w:szCs w:val="16"/>
        </w:rPr>
      </w:pPr>
      <w:r w:rsidRPr="00CB4656">
        <w:rPr>
          <w:rFonts w:ascii="Arial" w:hAnsi="Arial" w:cs="Arial"/>
          <w:sz w:val="16"/>
          <w:szCs w:val="16"/>
          <w:vertAlign w:val="superscript"/>
        </w:rPr>
        <w:footnoteRef/>
      </w:r>
      <w:r w:rsidRPr="002F68E4">
        <w:rPr>
          <w:rFonts w:ascii="Arial" w:hAnsi="Arial" w:cs="Arial"/>
          <w:sz w:val="16"/>
          <w:szCs w:val="16"/>
        </w:rPr>
        <w:t xml:space="preserve"> Indien de nationale implementatie van de Richtlijn Duurzaamheidsrapportering (CSRD) nog niet is voltooid ten tijde van het afgeven van deze </w:t>
      </w:r>
      <w:r w:rsidR="00DA0E7D">
        <w:rPr>
          <w:rFonts w:ascii="Arial" w:hAnsi="Arial" w:cs="Arial"/>
          <w:sz w:val="16"/>
          <w:szCs w:val="16"/>
        </w:rPr>
        <w:t>rapportage</w:t>
      </w:r>
      <w:r w:rsidRPr="002F68E4">
        <w:rPr>
          <w:rFonts w:ascii="Arial" w:hAnsi="Arial" w:cs="Arial"/>
          <w:sz w:val="16"/>
          <w:szCs w:val="16"/>
        </w:rPr>
        <w:t>, vervalt de verwijzing naar de Wet toezicht accountantsorganisaties (</w:t>
      </w:r>
      <w:proofErr w:type="spellStart"/>
      <w:r w:rsidRPr="002F68E4">
        <w:rPr>
          <w:rFonts w:ascii="Arial" w:hAnsi="Arial" w:cs="Arial"/>
          <w:sz w:val="16"/>
          <w:szCs w:val="16"/>
        </w:rPr>
        <w:t>Wta</w:t>
      </w:r>
      <w:proofErr w:type="spellEnd"/>
      <w:r w:rsidRPr="002F68E4">
        <w:rPr>
          <w:rFonts w:ascii="Arial" w:hAnsi="Arial" w:cs="Arial"/>
          <w:sz w:val="16"/>
          <w:szCs w:val="16"/>
        </w:rPr>
        <w:t>)</w:t>
      </w:r>
      <w:r w:rsidR="00DA0E7D">
        <w:rPr>
          <w:rFonts w:ascii="Arial" w:hAnsi="Arial" w:cs="Arial"/>
          <w:sz w:val="16"/>
          <w:szCs w:val="16"/>
        </w:rPr>
        <w:t>.</w:t>
      </w:r>
    </w:p>
  </w:footnote>
  <w:footnote w:id="7">
    <w:p w14:paraId="621A174E" w14:textId="2EB1449E" w:rsidR="00D75A0D" w:rsidRPr="00D75A0D" w:rsidRDefault="00D75A0D" w:rsidP="00D75A0D">
      <w:pPr>
        <w:pStyle w:val="Voetnoottekst"/>
        <w:rPr>
          <w:rFonts w:ascii="Arial" w:hAnsi="Arial" w:cs="Arial"/>
          <w:sz w:val="16"/>
          <w:szCs w:val="16"/>
        </w:rPr>
      </w:pPr>
      <w:r w:rsidRPr="00CB4656">
        <w:rPr>
          <w:rFonts w:ascii="Arial" w:hAnsi="Arial" w:cs="Arial"/>
          <w:sz w:val="16"/>
          <w:szCs w:val="16"/>
          <w:vertAlign w:val="superscript"/>
        </w:rPr>
        <w:footnoteRef/>
      </w:r>
      <w:r w:rsidRPr="00D75A0D">
        <w:rPr>
          <w:rFonts w:ascii="Arial" w:hAnsi="Arial" w:cs="Arial"/>
          <w:sz w:val="16"/>
          <w:szCs w:val="16"/>
        </w:rPr>
        <w:t xml:space="preserve"> De benadrukking van aangelegenheden vestigt de aandacht op een kwestie die wordt gepresenteerd of bekendgemaakt in </w:t>
      </w:r>
      <w:r w:rsidR="00756EC8">
        <w:rPr>
          <w:rFonts w:ascii="Arial" w:hAnsi="Arial" w:cs="Arial"/>
          <w:sz w:val="16"/>
          <w:szCs w:val="16"/>
        </w:rPr>
        <w:t>het</w:t>
      </w:r>
      <w:r w:rsidR="00756EC8" w:rsidRPr="00D75A0D">
        <w:rPr>
          <w:rFonts w:ascii="Arial" w:hAnsi="Arial" w:cs="Arial"/>
          <w:sz w:val="16"/>
          <w:szCs w:val="16"/>
        </w:rPr>
        <w:t xml:space="preserve"> duurzaamheidsver</w:t>
      </w:r>
      <w:r w:rsidR="00756EC8">
        <w:rPr>
          <w:rFonts w:ascii="Arial" w:hAnsi="Arial" w:cs="Arial"/>
          <w:sz w:val="16"/>
          <w:szCs w:val="16"/>
        </w:rPr>
        <w:t>slag</w:t>
      </w:r>
      <w:r w:rsidRPr="00D75A0D">
        <w:rPr>
          <w:rFonts w:ascii="Arial" w:hAnsi="Arial" w:cs="Arial"/>
          <w:sz w:val="16"/>
          <w:szCs w:val="16"/>
        </w:rPr>
        <w:t xml:space="preserve">. In dit sjabloon gaan we ervan uit dat dit de </w:t>
      </w:r>
      <w:r w:rsidR="002D4E65">
        <w:rPr>
          <w:rFonts w:ascii="Arial" w:hAnsi="Arial" w:cs="Arial"/>
          <w:sz w:val="16"/>
          <w:szCs w:val="16"/>
        </w:rPr>
        <w:t>‘</w:t>
      </w:r>
      <w:r w:rsidRPr="00D75A0D">
        <w:rPr>
          <w:rFonts w:ascii="Arial" w:hAnsi="Arial" w:cs="Arial"/>
          <w:sz w:val="16"/>
          <w:szCs w:val="16"/>
        </w:rPr>
        <w:t xml:space="preserve">Sources of </w:t>
      </w:r>
      <w:proofErr w:type="spellStart"/>
      <w:r w:rsidRPr="00D75A0D">
        <w:rPr>
          <w:rFonts w:ascii="Arial" w:hAnsi="Arial" w:cs="Arial"/>
          <w:sz w:val="16"/>
          <w:szCs w:val="16"/>
        </w:rPr>
        <w:t>estimation</w:t>
      </w:r>
      <w:proofErr w:type="spellEnd"/>
      <w:r w:rsidRPr="00D75A0D">
        <w:rPr>
          <w:rFonts w:ascii="Arial" w:hAnsi="Arial" w:cs="Arial"/>
          <w:sz w:val="16"/>
          <w:szCs w:val="16"/>
        </w:rPr>
        <w:t xml:space="preserve"> </w:t>
      </w:r>
      <w:proofErr w:type="spellStart"/>
      <w:r w:rsidRPr="00D75A0D">
        <w:rPr>
          <w:rFonts w:ascii="Arial" w:hAnsi="Arial" w:cs="Arial"/>
          <w:sz w:val="16"/>
          <w:szCs w:val="16"/>
        </w:rPr>
        <w:t>and</w:t>
      </w:r>
      <w:proofErr w:type="spellEnd"/>
      <w:r w:rsidRPr="00D75A0D">
        <w:rPr>
          <w:rFonts w:ascii="Arial" w:hAnsi="Arial" w:cs="Arial"/>
          <w:sz w:val="16"/>
          <w:szCs w:val="16"/>
        </w:rPr>
        <w:t xml:space="preserve"> </w:t>
      </w:r>
      <w:proofErr w:type="spellStart"/>
      <w:r w:rsidRPr="00D75A0D">
        <w:rPr>
          <w:rFonts w:ascii="Arial" w:hAnsi="Arial" w:cs="Arial"/>
          <w:sz w:val="16"/>
          <w:szCs w:val="16"/>
        </w:rPr>
        <w:t>outcome</w:t>
      </w:r>
      <w:proofErr w:type="spellEnd"/>
      <w:r w:rsidRPr="00D75A0D">
        <w:rPr>
          <w:rFonts w:ascii="Arial" w:hAnsi="Arial" w:cs="Arial"/>
          <w:sz w:val="16"/>
          <w:szCs w:val="16"/>
        </w:rPr>
        <w:t xml:space="preserve"> </w:t>
      </w:r>
      <w:proofErr w:type="spellStart"/>
      <w:r w:rsidRPr="00D75A0D">
        <w:rPr>
          <w:rFonts w:ascii="Arial" w:hAnsi="Arial" w:cs="Arial"/>
          <w:sz w:val="16"/>
          <w:szCs w:val="16"/>
        </w:rPr>
        <w:t>uncertainty</w:t>
      </w:r>
      <w:proofErr w:type="spellEnd"/>
      <w:r w:rsidR="002D4E65">
        <w:rPr>
          <w:rFonts w:ascii="Arial" w:hAnsi="Arial" w:cs="Arial"/>
          <w:sz w:val="16"/>
          <w:szCs w:val="16"/>
        </w:rPr>
        <w:t>’</w:t>
      </w:r>
      <w:r w:rsidRPr="00D75A0D">
        <w:rPr>
          <w:rFonts w:ascii="Arial" w:hAnsi="Arial" w:cs="Arial"/>
          <w:sz w:val="16"/>
          <w:szCs w:val="16"/>
        </w:rPr>
        <w:t xml:space="preserve"> omvat, in overeenstemming met de ESRS </w:t>
      </w:r>
      <w:r w:rsidR="00553343">
        <w:rPr>
          <w:rFonts w:ascii="Arial" w:hAnsi="Arial" w:cs="Arial"/>
          <w:sz w:val="16"/>
          <w:szCs w:val="16"/>
        </w:rPr>
        <w:t>(</w:t>
      </w:r>
      <w:r w:rsidRPr="00D75A0D">
        <w:rPr>
          <w:rFonts w:ascii="Arial" w:hAnsi="Arial" w:cs="Arial"/>
          <w:sz w:val="16"/>
          <w:szCs w:val="16"/>
        </w:rPr>
        <w:t>2</w:t>
      </w:r>
      <w:r w:rsidR="00553343">
        <w:rPr>
          <w:rFonts w:ascii="Arial" w:hAnsi="Arial" w:cs="Arial"/>
          <w:sz w:val="16"/>
          <w:szCs w:val="16"/>
        </w:rPr>
        <w:t>.</w:t>
      </w:r>
      <w:r w:rsidRPr="00D75A0D">
        <w:rPr>
          <w:rFonts w:ascii="Arial" w:hAnsi="Arial" w:cs="Arial"/>
          <w:sz w:val="16"/>
          <w:szCs w:val="16"/>
        </w:rPr>
        <w:t>11 en 1.88</w:t>
      </w:r>
      <w:r w:rsidR="00553343">
        <w:rPr>
          <w:rFonts w:ascii="Arial" w:hAnsi="Arial" w:cs="Arial"/>
          <w:sz w:val="16"/>
          <w:szCs w:val="16"/>
        </w:rPr>
        <w:t>)</w:t>
      </w:r>
      <w:r w:rsidRPr="00D75A0D">
        <w:rPr>
          <w:rFonts w:ascii="Arial" w:hAnsi="Arial" w:cs="Arial"/>
          <w:sz w:val="16"/>
          <w:szCs w:val="16"/>
        </w:rPr>
        <w:t>.</w:t>
      </w:r>
    </w:p>
    <w:p w14:paraId="0BE0A621" w14:textId="41D6A56B" w:rsidR="00D75A0D" w:rsidRPr="00D75A0D" w:rsidRDefault="00D75A0D">
      <w:pPr>
        <w:pStyle w:val="Voetnoottekst"/>
        <w:rPr>
          <w:rFonts w:ascii="Arial" w:hAnsi="Arial" w:cs="Arial"/>
          <w:sz w:val="16"/>
          <w:szCs w:val="16"/>
        </w:rPr>
      </w:pPr>
      <w:r w:rsidRPr="00D75A0D">
        <w:rPr>
          <w:rFonts w:ascii="Arial" w:hAnsi="Arial" w:cs="Arial"/>
          <w:sz w:val="16"/>
          <w:szCs w:val="16"/>
        </w:rPr>
        <w:t xml:space="preserve">Om (1) overwegingen met betrekking tot ESG op te nemen en (2) het belang van de aangelegenheid te verduidelijken in plaats van 'slechts' te verwijzen naar de relevante openbaarmaking(en), hebben we </w:t>
      </w:r>
      <w:proofErr w:type="spellStart"/>
      <w:r w:rsidRPr="00D75A0D">
        <w:rPr>
          <w:rFonts w:ascii="Arial" w:hAnsi="Arial" w:cs="Arial"/>
          <w:sz w:val="16"/>
          <w:szCs w:val="16"/>
        </w:rPr>
        <w:t>subkoppen</w:t>
      </w:r>
      <w:proofErr w:type="spellEnd"/>
      <w:r w:rsidRPr="00D75A0D">
        <w:rPr>
          <w:rFonts w:ascii="Arial" w:hAnsi="Arial" w:cs="Arial"/>
          <w:sz w:val="16"/>
          <w:szCs w:val="16"/>
        </w:rPr>
        <w:t xml:space="preserve"> (in de vorm van een zin) </w:t>
      </w:r>
      <w:r w:rsidR="009151AF" w:rsidRPr="00D75A0D">
        <w:rPr>
          <w:rFonts w:ascii="Arial" w:hAnsi="Arial" w:cs="Arial"/>
          <w:sz w:val="16"/>
          <w:szCs w:val="16"/>
        </w:rPr>
        <w:t xml:space="preserve">toegevoegd </w:t>
      </w:r>
      <w:r w:rsidR="00DD043B">
        <w:rPr>
          <w:rFonts w:ascii="Arial" w:hAnsi="Arial" w:cs="Arial"/>
          <w:sz w:val="16"/>
          <w:szCs w:val="16"/>
        </w:rPr>
        <w:t>over</w:t>
      </w:r>
      <w:r w:rsidR="00DD043B" w:rsidRPr="00D75A0D">
        <w:rPr>
          <w:rFonts w:ascii="Arial" w:hAnsi="Arial" w:cs="Arial"/>
          <w:sz w:val="16"/>
          <w:szCs w:val="16"/>
        </w:rPr>
        <w:t xml:space="preserve"> </w:t>
      </w:r>
      <w:r w:rsidRPr="00D75A0D">
        <w:rPr>
          <w:rFonts w:ascii="Arial" w:hAnsi="Arial" w:cs="Arial"/>
          <w:sz w:val="16"/>
          <w:szCs w:val="16"/>
        </w:rPr>
        <w:t>de kwestie</w:t>
      </w:r>
      <w:r w:rsidR="0036535B">
        <w:rPr>
          <w:rFonts w:ascii="Arial" w:hAnsi="Arial" w:cs="Arial"/>
          <w:sz w:val="16"/>
          <w:szCs w:val="16"/>
        </w:rPr>
        <w:t>,</w:t>
      </w:r>
      <w:r w:rsidRPr="00D75A0D">
        <w:rPr>
          <w:rFonts w:ascii="Arial" w:hAnsi="Arial" w:cs="Arial"/>
          <w:sz w:val="16"/>
          <w:szCs w:val="16"/>
        </w:rPr>
        <w:t xml:space="preserve"> </w:t>
      </w:r>
      <w:r w:rsidR="00753C6A">
        <w:rPr>
          <w:rFonts w:ascii="Arial" w:hAnsi="Arial" w:cs="Arial"/>
          <w:sz w:val="16"/>
          <w:szCs w:val="16"/>
        </w:rPr>
        <w:t>die</w:t>
      </w:r>
      <w:r w:rsidRPr="00D75A0D">
        <w:rPr>
          <w:rFonts w:ascii="Arial" w:hAnsi="Arial" w:cs="Arial"/>
          <w:sz w:val="16"/>
          <w:szCs w:val="16"/>
        </w:rPr>
        <w:t xml:space="preserve"> het belang van de benadrukte kwestie(</w:t>
      </w:r>
      <w:r w:rsidR="00753C6A">
        <w:rPr>
          <w:rFonts w:ascii="Arial" w:hAnsi="Arial" w:cs="Arial"/>
          <w:sz w:val="16"/>
          <w:szCs w:val="16"/>
        </w:rPr>
        <w:t>s</w:t>
      </w:r>
      <w:r w:rsidRPr="00D75A0D">
        <w:rPr>
          <w:rFonts w:ascii="Arial" w:hAnsi="Arial" w:cs="Arial"/>
          <w:sz w:val="16"/>
          <w:szCs w:val="16"/>
        </w:rPr>
        <w:t xml:space="preserve">) </w:t>
      </w:r>
      <w:r w:rsidR="00753C6A">
        <w:rPr>
          <w:rFonts w:ascii="Arial" w:hAnsi="Arial" w:cs="Arial"/>
          <w:sz w:val="16"/>
          <w:szCs w:val="16"/>
        </w:rPr>
        <w:t>benadrukken</w:t>
      </w:r>
      <w:r w:rsidRPr="00D75A0D">
        <w:rPr>
          <w:rFonts w:ascii="Arial" w:hAnsi="Arial" w:cs="Arial"/>
          <w:sz w:val="16"/>
          <w:szCs w:val="16"/>
        </w:rPr>
        <w:t>.</w:t>
      </w:r>
    </w:p>
  </w:footnote>
  <w:footnote w:id="8">
    <w:p w14:paraId="7B3E983C" w14:textId="7375D5A2" w:rsidR="006F1AFE" w:rsidRDefault="006F1AFE">
      <w:pPr>
        <w:pStyle w:val="Voetnoottekst"/>
      </w:pPr>
      <w:r>
        <w:rPr>
          <w:rStyle w:val="Voetnootmarkering"/>
        </w:rPr>
        <w:footnoteRef/>
      </w:r>
      <w:r>
        <w:t xml:space="preserve"> </w:t>
      </w:r>
      <w:r w:rsidR="00FD4713" w:rsidRPr="0092551C">
        <w:rPr>
          <w:rFonts w:ascii="Arial" w:hAnsi="Arial" w:cs="Arial"/>
          <w:sz w:val="16"/>
          <w:szCs w:val="16"/>
        </w:rPr>
        <w:t xml:space="preserve">Onderdeel waarin </w:t>
      </w:r>
      <w:r w:rsidR="00FD4713">
        <w:rPr>
          <w:rFonts w:ascii="Arial" w:hAnsi="Arial" w:cs="Arial"/>
          <w:sz w:val="16"/>
          <w:szCs w:val="16"/>
        </w:rPr>
        <w:t>het kader van de nieuwe duurzaamheidsrapporteringsstandaarden is</w:t>
      </w:r>
      <w:r w:rsidR="00FD4713" w:rsidRPr="0092551C">
        <w:rPr>
          <w:rFonts w:ascii="Arial" w:hAnsi="Arial" w:cs="Arial"/>
          <w:sz w:val="16"/>
          <w:szCs w:val="16"/>
        </w:rPr>
        <w:t xml:space="preserve"> samengevat en, voor zover van toepassing, wordt verwezen naar meer gedetailleerde toelichtingen</w:t>
      </w:r>
      <w:r w:rsidR="00FD4713">
        <w:rPr>
          <w:rFonts w:ascii="Arial" w:hAnsi="Arial" w:cs="Arial"/>
          <w:sz w:val="16"/>
          <w:szCs w:val="16"/>
        </w:rPr>
        <w:t>.</w:t>
      </w:r>
    </w:p>
  </w:footnote>
  <w:footnote w:id="9">
    <w:p w14:paraId="584A154A" w14:textId="3A8A3CF3" w:rsidR="00FD4713" w:rsidRDefault="00FD4713">
      <w:pPr>
        <w:pStyle w:val="Voetnoottekst"/>
      </w:pPr>
      <w:r>
        <w:rPr>
          <w:rStyle w:val="Voetnootmarkering"/>
        </w:rPr>
        <w:footnoteRef/>
      </w:r>
      <w:r>
        <w:t xml:space="preserve"> </w:t>
      </w:r>
      <w:r w:rsidRPr="00383B2A">
        <w:rPr>
          <w:rFonts w:ascii="Arial" w:hAnsi="Arial" w:cs="Arial"/>
          <w:sz w:val="16"/>
          <w:szCs w:val="16"/>
        </w:rPr>
        <w:t>Onderdeel waarin de meest significante onzekerheden die van invloed zijn op de kwantitatieve maatstaven en geldbedragen zijn samengevat en, voor zover van toepassing, wordt verwezen naar meer gedetailleerde toelichtingen</w:t>
      </w:r>
      <w:r>
        <w:rPr>
          <w:rFonts w:ascii="Arial" w:hAnsi="Arial" w:cs="Arial"/>
          <w:sz w:val="16"/>
          <w:szCs w:val="16"/>
        </w:rPr>
        <w:t>.</w:t>
      </w:r>
    </w:p>
  </w:footnote>
  <w:footnote w:id="10">
    <w:p w14:paraId="37FD366F" w14:textId="430D887A" w:rsidR="009836FA" w:rsidRPr="009836FA" w:rsidRDefault="009836FA">
      <w:pPr>
        <w:pStyle w:val="Voetnoottekst"/>
        <w:rPr>
          <w:rFonts w:ascii="Arial" w:hAnsi="Arial" w:cs="Arial"/>
          <w:sz w:val="16"/>
          <w:szCs w:val="16"/>
        </w:rPr>
      </w:pPr>
      <w:r w:rsidRPr="009836FA">
        <w:rPr>
          <w:rStyle w:val="Voetnootmarkering"/>
          <w:rFonts w:ascii="Arial" w:hAnsi="Arial" w:cs="Arial"/>
          <w:sz w:val="16"/>
          <w:szCs w:val="16"/>
        </w:rPr>
        <w:footnoteRef/>
      </w:r>
      <w:r w:rsidRPr="009836FA">
        <w:rPr>
          <w:rFonts w:ascii="Arial" w:hAnsi="Arial" w:cs="Arial"/>
          <w:sz w:val="16"/>
          <w:szCs w:val="16"/>
        </w:rPr>
        <w:t xml:space="preserve"> Onderdeel met de beschrijving van door de onderneming geïmplementeerde </w:t>
      </w:r>
      <w:proofErr w:type="spellStart"/>
      <w:r w:rsidRPr="009836FA">
        <w:rPr>
          <w:rFonts w:ascii="Arial" w:hAnsi="Arial" w:cs="Arial"/>
          <w:sz w:val="16"/>
          <w:szCs w:val="16"/>
        </w:rPr>
        <w:t>due</w:t>
      </w:r>
      <w:proofErr w:type="spellEnd"/>
      <w:r w:rsidRPr="009836FA">
        <w:rPr>
          <w:rFonts w:ascii="Arial" w:hAnsi="Arial" w:cs="Arial"/>
          <w:sz w:val="16"/>
          <w:szCs w:val="16"/>
        </w:rPr>
        <w:t>-diligenceproces en dubbele</w:t>
      </w:r>
      <w:r w:rsidR="005B4524">
        <w:rPr>
          <w:rFonts w:ascii="Arial" w:hAnsi="Arial" w:cs="Arial"/>
          <w:sz w:val="16"/>
          <w:szCs w:val="16"/>
        </w:rPr>
        <w:t>-</w:t>
      </w:r>
      <w:r w:rsidRPr="009836FA">
        <w:rPr>
          <w:rFonts w:ascii="Arial" w:hAnsi="Arial" w:cs="Arial"/>
          <w:sz w:val="16"/>
          <w:szCs w:val="16"/>
        </w:rPr>
        <w:t>materialiteitsanalyse</w:t>
      </w:r>
      <w:r w:rsidR="00191DE6">
        <w:rPr>
          <w:rFonts w:ascii="Arial" w:hAnsi="Arial" w:cs="Arial"/>
          <w:sz w:val="16"/>
          <w:szCs w:val="16"/>
        </w:rPr>
        <w:t>proces</w:t>
      </w:r>
      <w:r w:rsidRPr="009836FA">
        <w:rPr>
          <w:rFonts w:ascii="Arial" w:hAnsi="Arial" w:cs="Arial"/>
          <w:sz w:val="16"/>
          <w:szCs w:val="16"/>
        </w:rPr>
        <w:t xml:space="preserve"> wat betreft duurzaamheidsthema’s</w:t>
      </w:r>
      <w:r w:rsidR="00191DE6">
        <w:rPr>
          <w:rFonts w:ascii="Arial" w:hAnsi="Arial" w:cs="Arial"/>
          <w:sz w:val="16"/>
          <w:szCs w:val="16"/>
        </w:rPr>
        <w:t>.</w:t>
      </w:r>
    </w:p>
  </w:footnote>
  <w:footnote w:id="11">
    <w:p w14:paraId="415FD509" w14:textId="25BD36D8" w:rsidR="00252165" w:rsidRPr="00252165" w:rsidRDefault="00252165">
      <w:pPr>
        <w:pStyle w:val="Voetnoottekst"/>
        <w:rPr>
          <w:rFonts w:ascii="Arial" w:hAnsi="Arial" w:cs="Arial"/>
          <w:sz w:val="16"/>
          <w:szCs w:val="16"/>
        </w:rPr>
      </w:pPr>
      <w:r>
        <w:rPr>
          <w:rStyle w:val="Voetnootmarkering"/>
        </w:rPr>
        <w:footnoteRef/>
      </w:r>
      <w:r>
        <w:t xml:space="preserve"> </w:t>
      </w:r>
      <w:r w:rsidRPr="00252165">
        <w:rPr>
          <w:rFonts w:ascii="Arial" w:hAnsi="Arial" w:cs="Arial"/>
          <w:sz w:val="16"/>
          <w:szCs w:val="16"/>
        </w:rPr>
        <w:t>Aan te passen aan de juiste benaming</w:t>
      </w:r>
      <w:r w:rsidR="00116D08">
        <w:rPr>
          <w:rFonts w:ascii="Arial" w:hAnsi="Arial" w:cs="Arial"/>
          <w:sz w:val="16"/>
          <w:szCs w:val="16"/>
        </w:rPr>
        <w:t>.</w:t>
      </w:r>
    </w:p>
  </w:footnote>
  <w:footnote w:id="12">
    <w:p w14:paraId="2F6B8AAD" w14:textId="7F1458FD" w:rsidR="00944EBB" w:rsidRPr="0027051E" w:rsidRDefault="00944EBB">
      <w:pPr>
        <w:pStyle w:val="Voetnoottekst"/>
        <w:rPr>
          <w:rFonts w:ascii="Arial" w:hAnsi="Arial" w:cs="Arial"/>
          <w:sz w:val="16"/>
          <w:szCs w:val="16"/>
        </w:rPr>
      </w:pPr>
      <w:r w:rsidRPr="0027051E">
        <w:rPr>
          <w:rStyle w:val="Voetnootmarkering"/>
          <w:rFonts w:ascii="Arial" w:hAnsi="Arial" w:cs="Arial"/>
          <w:sz w:val="16"/>
          <w:szCs w:val="16"/>
        </w:rPr>
        <w:footnoteRef/>
      </w:r>
      <w:r w:rsidRPr="0027051E">
        <w:rPr>
          <w:rFonts w:ascii="Arial" w:hAnsi="Arial" w:cs="Arial"/>
          <w:sz w:val="16"/>
          <w:szCs w:val="16"/>
        </w:rPr>
        <w:t xml:space="preserve"> Terminologie laten aansluiten op die welke de entiteit hanteert.</w:t>
      </w:r>
    </w:p>
  </w:footnote>
  <w:footnote w:id="13">
    <w:p w14:paraId="5D5D9728" w14:textId="2A496833" w:rsidR="0057200E" w:rsidRPr="0027051E" w:rsidRDefault="0057200E" w:rsidP="000A5E75">
      <w:pPr>
        <w:pStyle w:val="Voetnoottekst"/>
        <w:rPr>
          <w:rFonts w:ascii="Arial" w:hAnsi="Arial" w:cs="Arial"/>
          <w:sz w:val="16"/>
          <w:szCs w:val="16"/>
        </w:rPr>
      </w:pPr>
      <w:r w:rsidRPr="0027051E">
        <w:rPr>
          <w:rStyle w:val="Voetnootmarkering"/>
          <w:rFonts w:ascii="Arial" w:hAnsi="Arial" w:cs="Arial"/>
          <w:sz w:val="16"/>
          <w:szCs w:val="16"/>
        </w:rPr>
        <w:footnoteRef/>
      </w:r>
      <w:r w:rsidRPr="0027051E">
        <w:rPr>
          <w:rFonts w:ascii="Arial" w:hAnsi="Arial" w:cs="Arial"/>
          <w:sz w:val="16"/>
          <w:szCs w:val="16"/>
        </w:rPr>
        <w:t xml:space="preserve"> </w:t>
      </w:r>
      <w:r w:rsidR="006A311C" w:rsidRPr="006A311C">
        <w:rPr>
          <w:rFonts w:ascii="Arial" w:hAnsi="Arial" w:cs="Arial"/>
          <w:sz w:val="16"/>
          <w:szCs w:val="16"/>
        </w:rPr>
        <w:t xml:space="preserve">Zo nodig aanpassen als een </w:t>
      </w:r>
      <w:proofErr w:type="spellStart"/>
      <w:r w:rsidR="006A311C" w:rsidRPr="006A311C">
        <w:rPr>
          <w:rFonts w:ascii="Arial" w:hAnsi="Arial" w:cs="Arial"/>
          <w:sz w:val="16"/>
          <w:szCs w:val="16"/>
        </w:rPr>
        <w:t>supervisory</w:t>
      </w:r>
      <w:proofErr w:type="spellEnd"/>
      <w:r w:rsidR="006A311C" w:rsidRPr="006A311C">
        <w:rPr>
          <w:rFonts w:ascii="Arial" w:hAnsi="Arial" w:cs="Arial"/>
          <w:sz w:val="16"/>
          <w:szCs w:val="16"/>
        </w:rPr>
        <w:t xml:space="preserve"> board (raad van commissarissen) of soortgelijk orgaan ontbreekt of geen verantwoordelijkheid heeft voor het opdrachtobject.</w:t>
      </w:r>
    </w:p>
  </w:footnote>
  <w:footnote w:id="14">
    <w:p w14:paraId="6960F062" w14:textId="4E26F877" w:rsidR="007A7C4A" w:rsidRPr="0091675C" w:rsidRDefault="007A7C4A" w:rsidP="007A7C4A">
      <w:pPr>
        <w:pStyle w:val="Voetnoottekst"/>
        <w:rPr>
          <w:rFonts w:ascii="Arial" w:hAnsi="Arial" w:cs="Arial"/>
          <w:sz w:val="16"/>
          <w:szCs w:val="16"/>
        </w:rPr>
      </w:pPr>
      <w:r w:rsidRPr="0091675C">
        <w:rPr>
          <w:rStyle w:val="Voetnootmarkering"/>
          <w:rFonts w:ascii="Arial" w:hAnsi="Arial" w:cs="Arial"/>
          <w:sz w:val="16"/>
          <w:szCs w:val="16"/>
        </w:rPr>
        <w:footnoteRef/>
      </w:r>
      <w:r w:rsidRPr="0091675C">
        <w:rPr>
          <w:rFonts w:ascii="Arial" w:hAnsi="Arial" w:cs="Arial"/>
          <w:sz w:val="16"/>
          <w:szCs w:val="16"/>
        </w:rPr>
        <w:t xml:space="preserve"> </w:t>
      </w:r>
      <w:r w:rsidRPr="007A7C4A">
        <w:rPr>
          <w:rFonts w:ascii="Arial" w:hAnsi="Arial" w:cs="Arial"/>
          <w:sz w:val="16"/>
          <w:szCs w:val="16"/>
        </w:rPr>
        <w:t xml:space="preserve">Zo nodig aan te passen, bijvoorbeeld als een </w:t>
      </w:r>
      <w:proofErr w:type="spellStart"/>
      <w:r w:rsidRPr="007A7C4A">
        <w:rPr>
          <w:rFonts w:ascii="Arial" w:hAnsi="Arial" w:cs="Arial"/>
          <w:sz w:val="16"/>
          <w:szCs w:val="16"/>
        </w:rPr>
        <w:t>supervisory</w:t>
      </w:r>
      <w:proofErr w:type="spellEnd"/>
      <w:r w:rsidRPr="007A7C4A">
        <w:rPr>
          <w:rFonts w:ascii="Arial" w:hAnsi="Arial" w:cs="Arial"/>
          <w:sz w:val="16"/>
          <w:szCs w:val="16"/>
        </w:rPr>
        <w:t xml:space="preserve"> board of soortgelijk orgaan een andere benaming</w:t>
      </w:r>
      <w:r>
        <w:rPr>
          <w:rFonts w:ascii="Arial" w:hAnsi="Arial" w:cs="Arial"/>
          <w:sz w:val="16"/>
          <w:szCs w:val="16"/>
        </w:rPr>
        <w:t xml:space="preserve"> </w:t>
      </w:r>
      <w:r w:rsidRPr="007A7C4A">
        <w:rPr>
          <w:rFonts w:ascii="Arial" w:hAnsi="Arial" w:cs="Arial"/>
          <w:sz w:val="16"/>
          <w:szCs w:val="16"/>
        </w:rPr>
        <w:t>heeft of ontbreekt.</w:t>
      </w:r>
    </w:p>
  </w:footnote>
  <w:footnote w:id="15">
    <w:p w14:paraId="0B744595" w14:textId="633E38EA" w:rsidR="00995227" w:rsidRPr="00995227" w:rsidRDefault="00995227">
      <w:pPr>
        <w:pStyle w:val="Voetnoottekst"/>
        <w:rPr>
          <w:rFonts w:ascii="Arial" w:hAnsi="Arial" w:cs="Arial"/>
          <w:sz w:val="16"/>
          <w:szCs w:val="16"/>
        </w:rPr>
      </w:pPr>
      <w:r w:rsidRPr="00995227">
        <w:rPr>
          <w:rStyle w:val="Voetnootmarkering"/>
          <w:rFonts w:ascii="Arial" w:hAnsi="Arial" w:cs="Arial"/>
          <w:sz w:val="16"/>
          <w:szCs w:val="16"/>
        </w:rPr>
        <w:footnoteRef/>
      </w:r>
      <w:r w:rsidRPr="00995227">
        <w:rPr>
          <w:rFonts w:ascii="Arial" w:hAnsi="Arial" w:cs="Arial"/>
          <w:sz w:val="16"/>
          <w:szCs w:val="16"/>
        </w:rPr>
        <w:t xml:space="preserve"> Bron: </w:t>
      </w:r>
      <w:hyperlink r:id="rId1" w:history="1">
        <w:r w:rsidRPr="00995227">
          <w:rPr>
            <w:rStyle w:val="Hyperlink"/>
            <w:rFonts w:ascii="Arial" w:hAnsi="Arial" w:cs="Arial"/>
            <w:sz w:val="16"/>
            <w:szCs w:val="16"/>
          </w:rPr>
          <w:t>https://finance.ec.europa.eu/document/download/8ac2df18-2ae1-4bc7-9d87-a4a740e48f5e_en?filename=240930-ceaob-guidelines-limited-assurance-sustainability-reporting_en.pdf</w:t>
        </w:r>
      </w:hyperlink>
      <w:r w:rsidRPr="00995227">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FAA8" w14:textId="77777777" w:rsidR="0057200E" w:rsidRPr="006908F9" w:rsidRDefault="0057200E" w:rsidP="00803B8B">
    <w:pPr>
      <w:jc w:val="right"/>
    </w:pPr>
    <w:r>
      <w:t xml:space="preserve">3 </w:t>
    </w:r>
    <w:r w:rsidRPr="00E52613">
      <w:rPr>
        <w:rFonts w:eastAsia="Calibri" w:cs="Arial"/>
        <w:iCs/>
      </w:rPr>
      <w:t>Assurance- en onderzoeksrapporten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0F33" w14:textId="77777777" w:rsidR="0057200E" w:rsidRDefault="0057200E">
    <w:pPr>
      <w:pStyle w:val="Koptekst"/>
    </w:pPr>
  </w:p>
  <w:p w14:paraId="69AAF290" w14:textId="77777777" w:rsidR="0057200E" w:rsidRDefault="005720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13EE" w14:textId="77777777" w:rsidR="0057200E" w:rsidRPr="006F086B" w:rsidRDefault="0057200E" w:rsidP="006F086B">
    <w:pPr>
      <w:pStyle w:val="Kopteks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9B56" w14:textId="77777777" w:rsidR="0057200E" w:rsidRDefault="005720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656E2B"/>
    <w:multiLevelType w:val="hybridMultilevel"/>
    <w:tmpl w:val="81A284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8567430"/>
    <w:multiLevelType w:val="hybridMultilevel"/>
    <w:tmpl w:val="2A5EB5DE"/>
    <w:lvl w:ilvl="0" w:tplc="8B1C4B6A">
      <w:start w:val="1"/>
      <w:numFmt w:val="lowerLetter"/>
      <w:lvlText w:val="%1."/>
      <w:lvlJc w:val="left"/>
      <w:pPr>
        <w:ind w:left="1440" w:hanging="360"/>
      </w:pPr>
    </w:lvl>
    <w:lvl w:ilvl="1" w:tplc="7084FA58">
      <w:start w:val="1"/>
      <w:numFmt w:val="lowerLetter"/>
      <w:lvlText w:val="%2."/>
      <w:lvlJc w:val="left"/>
      <w:pPr>
        <w:ind w:left="1440" w:hanging="360"/>
      </w:pPr>
    </w:lvl>
    <w:lvl w:ilvl="2" w:tplc="C20AAF74">
      <w:start w:val="1"/>
      <w:numFmt w:val="lowerLetter"/>
      <w:lvlText w:val="%3."/>
      <w:lvlJc w:val="left"/>
      <w:pPr>
        <w:ind w:left="1440" w:hanging="360"/>
      </w:pPr>
    </w:lvl>
    <w:lvl w:ilvl="3" w:tplc="67B2820A">
      <w:start w:val="1"/>
      <w:numFmt w:val="lowerLetter"/>
      <w:lvlText w:val="%4."/>
      <w:lvlJc w:val="left"/>
      <w:pPr>
        <w:ind w:left="1440" w:hanging="360"/>
      </w:pPr>
    </w:lvl>
    <w:lvl w:ilvl="4" w:tplc="543E2878">
      <w:start w:val="1"/>
      <w:numFmt w:val="lowerLetter"/>
      <w:lvlText w:val="%5."/>
      <w:lvlJc w:val="left"/>
      <w:pPr>
        <w:ind w:left="1440" w:hanging="360"/>
      </w:pPr>
    </w:lvl>
    <w:lvl w:ilvl="5" w:tplc="CD023A1C">
      <w:start w:val="1"/>
      <w:numFmt w:val="lowerLetter"/>
      <w:lvlText w:val="%6."/>
      <w:lvlJc w:val="left"/>
      <w:pPr>
        <w:ind w:left="1440" w:hanging="360"/>
      </w:pPr>
    </w:lvl>
    <w:lvl w:ilvl="6" w:tplc="AE28BC06">
      <w:start w:val="1"/>
      <w:numFmt w:val="lowerLetter"/>
      <w:lvlText w:val="%7."/>
      <w:lvlJc w:val="left"/>
      <w:pPr>
        <w:ind w:left="1440" w:hanging="360"/>
      </w:pPr>
    </w:lvl>
    <w:lvl w:ilvl="7" w:tplc="CDB2A1BE">
      <w:start w:val="1"/>
      <w:numFmt w:val="lowerLetter"/>
      <w:lvlText w:val="%8."/>
      <w:lvlJc w:val="left"/>
      <w:pPr>
        <w:ind w:left="1440" w:hanging="360"/>
      </w:pPr>
    </w:lvl>
    <w:lvl w:ilvl="8" w:tplc="A09C03AC">
      <w:start w:val="1"/>
      <w:numFmt w:val="lowerLetter"/>
      <w:lvlText w:val="%9."/>
      <w:lvlJc w:val="left"/>
      <w:pPr>
        <w:ind w:left="1440" w:hanging="360"/>
      </w:pPr>
    </w:lvl>
  </w:abstractNum>
  <w:abstractNum w:abstractNumId="8"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D04127E"/>
    <w:multiLevelType w:val="hybridMultilevel"/>
    <w:tmpl w:val="24F40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6B55A7A"/>
    <w:multiLevelType w:val="hybridMultilevel"/>
    <w:tmpl w:val="A0FC69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7D45813"/>
    <w:multiLevelType w:val="hybridMultilevel"/>
    <w:tmpl w:val="52029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A4A3810"/>
    <w:multiLevelType w:val="hybridMultilevel"/>
    <w:tmpl w:val="DAE87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B110D8C"/>
    <w:multiLevelType w:val="hybridMultilevel"/>
    <w:tmpl w:val="CBF8A6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1D762BA"/>
    <w:multiLevelType w:val="hybridMultilevel"/>
    <w:tmpl w:val="A5E83C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6"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765157E"/>
    <w:multiLevelType w:val="hybridMultilevel"/>
    <w:tmpl w:val="36B89388"/>
    <w:lvl w:ilvl="0" w:tplc="2CDE8EE4">
      <w:start w:val="1"/>
      <w:numFmt w:val="bullet"/>
      <w:lvlText w:val=""/>
      <w:lvlJc w:val="left"/>
      <w:pPr>
        <w:ind w:left="720" w:hanging="360"/>
      </w:pPr>
      <w:rPr>
        <w:rFonts w:ascii="Symbol" w:hAnsi="Symbol" w:hint="default"/>
      </w:rPr>
    </w:lvl>
    <w:lvl w:ilvl="1" w:tplc="27EAB9DC">
      <w:start w:val="1"/>
      <w:numFmt w:val="bullet"/>
      <w:lvlText w:val="o"/>
      <w:lvlJc w:val="left"/>
      <w:pPr>
        <w:ind w:left="1440" w:hanging="360"/>
      </w:pPr>
      <w:rPr>
        <w:rFonts w:ascii="Courier New" w:hAnsi="Courier New" w:hint="default"/>
      </w:rPr>
    </w:lvl>
    <w:lvl w:ilvl="2" w:tplc="CD20D5A2">
      <w:start w:val="1"/>
      <w:numFmt w:val="bullet"/>
      <w:lvlText w:val=""/>
      <w:lvlJc w:val="left"/>
      <w:pPr>
        <w:ind w:left="2160" w:hanging="360"/>
      </w:pPr>
      <w:rPr>
        <w:rFonts w:ascii="Wingdings" w:hAnsi="Wingdings" w:hint="default"/>
      </w:rPr>
    </w:lvl>
    <w:lvl w:ilvl="3" w:tplc="26DE7242">
      <w:start w:val="1"/>
      <w:numFmt w:val="bullet"/>
      <w:lvlText w:val=""/>
      <w:lvlJc w:val="left"/>
      <w:pPr>
        <w:ind w:left="2880" w:hanging="360"/>
      </w:pPr>
      <w:rPr>
        <w:rFonts w:ascii="Symbol" w:hAnsi="Symbol" w:hint="default"/>
      </w:rPr>
    </w:lvl>
    <w:lvl w:ilvl="4" w:tplc="C480E184">
      <w:start w:val="1"/>
      <w:numFmt w:val="bullet"/>
      <w:lvlText w:val="o"/>
      <w:lvlJc w:val="left"/>
      <w:pPr>
        <w:ind w:left="3600" w:hanging="360"/>
      </w:pPr>
      <w:rPr>
        <w:rFonts w:ascii="Courier New" w:hAnsi="Courier New" w:hint="default"/>
      </w:rPr>
    </w:lvl>
    <w:lvl w:ilvl="5" w:tplc="0ADAC4C4">
      <w:start w:val="1"/>
      <w:numFmt w:val="bullet"/>
      <w:lvlText w:val=""/>
      <w:lvlJc w:val="left"/>
      <w:pPr>
        <w:ind w:left="4320" w:hanging="360"/>
      </w:pPr>
      <w:rPr>
        <w:rFonts w:ascii="Wingdings" w:hAnsi="Wingdings" w:hint="default"/>
      </w:rPr>
    </w:lvl>
    <w:lvl w:ilvl="6" w:tplc="254880D4">
      <w:start w:val="1"/>
      <w:numFmt w:val="bullet"/>
      <w:lvlText w:val=""/>
      <w:lvlJc w:val="left"/>
      <w:pPr>
        <w:ind w:left="5040" w:hanging="360"/>
      </w:pPr>
      <w:rPr>
        <w:rFonts w:ascii="Symbol" w:hAnsi="Symbol" w:hint="default"/>
      </w:rPr>
    </w:lvl>
    <w:lvl w:ilvl="7" w:tplc="DA98B9E4">
      <w:start w:val="1"/>
      <w:numFmt w:val="bullet"/>
      <w:lvlText w:val="o"/>
      <w:lvlJc w:val="left"/>
      <w:pPr>
        <w:ind w:left="5760" w:hanging="360"/>
      </w:pPr>
      <w:rPr>
        <w:rFonts w:ascii="Courier New" w:hAnsi="Courier New" w:hint="default"/>
      </w:rPr>
    </w:lvl>
    <w:lvl w:ilvl="8" w:tplc="E140D272">
      <w:start w:val="1"/>
      <w:numFmt w:val="bullet"/>
      <w:lvlText w:val=""/>
      <w:lvlJc w:val="left"/>
      <w:pPr>
        <w:ind w:left="6480" w:hanging="360"/>
      </w:pPr>
      <w:rPr>
        <w:rFonts w:ascii="Wingdings" w:hAnsi="Wingdings" w:hint="default"/>
      </w:rPr>
    </w:lvl>
  </w:abstractNum>
  <w:abstractNum w:abstractNumId="30"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F1044AB"/>
    <w:multiLevelType w:val="hybridMultilevel"/>
    <w:tmpl w:val="77BAAB3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3A15AAE"/>
    <w:multiLevelType w:val="hybridMultilevel"/>
    <w:tmpl w:val="A72AA4BC"/>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348042F4"/>
    <w:multiLevelType w:val="hybridMultilevel"/>
    <w:tmpl w:val="7A2ED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4FD0E80"/>
    <w:multiLevelType w:val="hybridMultilevel"/>
    <w:tmpl w:val="F86E3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8333E00"/>
    <w:multiLevelType w:val="hybridMultilevel"/>
    <w:tmpl w:val="987A0F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9162FA6"/>
    <w:multiLevelType w:val="hybridMultilevel"/>
    <w:tmpl w:val="5D3C4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0"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4" w15:restartNumberingAfterBreak="0">
    <w:nsid w:val="3E352C35"/>
    <w:multiLevelType w:val="hybridMultilevel"/>
    <w:tmpl w:val="4C8E7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0BB7CDE"/>
    <w:multiLevelType w:val="hybridMultilevel"/>
    <w:tmpl w:val="6AE08D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25C01CD"/>
    <w:multiLevelType w:val="hybridMultilevel"/>
    <w:tmpl w:val="6D7CA2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3B23A50"/>
    <w:multiLevelType w:val="hybridMultilevel"/>
    <w:tmpl w:val="AC2A5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458667F4"/>
    <w:multiLevelType w:val="hybridMultilevel"/>
    <w:tmpl w:val="803CE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5"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4713A30"/>
    <w:multiLevelType w:val="hybridMultilevel"/>
    <w:tmpl w:val="22E88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5D91F57"/>
    <w:multiLevelType w:val="hybridMultilevel"/>
    <w:tmpl w:val="D02EE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5B97679D"/>
    <w:multiLevelType w:val="hybridMultilevel"/>
    <w:tmpl w:val="91D40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60EB6393"/>
    <w:multiLevelType w:val="hybridMultilevel"/>
    <w:tmpl w:val="B1966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618D2907"/>
    <w:multiLevelType w:val="hybridMultilevel"/>
    <w:tmpl w:val="57829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EEA5D39"/>
    <w:multiLevelType w:val="hybridMultilevel"/>
    <w:tmpl w:val="341448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0" w15:restartNumberingAfterBreak="0">
    <w:nsid w:val="6FB66F50"/>
    <w:multiLevelType w:val="hybridMultilevel"/>
    <w:tmpl w:val="D2CC894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76E575FA"/>
    <w:multiLevelType w:val="hybridMultilevel"/>
    <w:tmpl w:val="B9F8DBA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7"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98" w15:restartNumberingAfterBreak="0">
    <w:nsid w:val="7A1A7F36"/>
    <w:multiLevelType w:val="hybridMultilevel"/>
    <w:tmpl w:val="FBFCA42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D236A58"/>
    <w:multiLevelType w:val="hybridMultilevel"/>
    <w:tmpl w:val="FE4C4ECA"/>
    <w:lvl w:ilvl="0" w:tplc="3DB6E03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7E486E58"/>
    <w:multiLevelType w:val="hybridMultilevel"/>
    <w:tmpl w:val="D1A09B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599411777">
    <w:abstractNumId w:val="25"/>
  </w:num>
  <w:num w:numId="2" w16cid:durableId="1948268935">
    <w:abstractNumId w:val="49"/>
  </w:num>
  <w:num w:numId="3" w16cid:durableId="670067849">
    <w:abstractNumId w:val="44"/>
  </w:num>
  <w:num w:numId="4" w16cid:durableId="569195883">
    <w:abstractNumId w:val="27"/>
  </w:num>
  <w:num w:numId="5" w16cid:durableId="1929314960">
    <w:abstractNumId w:val="65"/>
  </w:num>
  <w:num w:numId="6" w16cid:durableId="1782334876">
    <w:abstractNumId w:val="75"/>
  </w:num>
  <w:num w:numId="7" w16cid:durableId="1394158839">
    <w:abstractNumId w:val="34"/>
  </w:num>
  <w:num w:numId="8" w16cid:durableId="973371624">
    <w:abstractNumId w:val="53"/>
  </w:num>
  <w:num w:numId="9" w16cid:durableId="762994495">
    <w:abstractNumId w:val="10"/>
  </w:num>
  <w:num w:numId="10" w16cid:durableId="1168597241">
    <w:abstractNumId w:val="64"/>
  </w:num>
  <w:num w:numId="11" w16cid:durableId="1872953532">
    <w:abstractNumId w:val="73"/>
  </w:num>
  <w:num w:numId="12" w16cid:durableId="1403798638">
    <w:abstractNumId w:val="13"/>
  </w:num>
  <w:num w:numId="13" w16cid:durableId="2000380296">
    <w:abstractNumId w:val="18"/>
  </w:num>
  <w:num w:numId="14" w16cid:durableId="1501383833">
    <w:abstractNumId w:val="79"/>
  </w:num>
  <w:num w:numId="15" w16cid:durableId="1198859602">
    <w:abstractNumId w:val="60"/>
  </w:num>
  <w:num w:numId="16" w16cid:durableId="1778402166">
    <w:abstractNumId w:val="72"/>
  </w:num>
  <w:num w:numId="17" w16cid:durableId="1451820733">
    <w:abstractNumId w:val="26"/>
  </w:num>
  <w:num w:numId="18" w16cid:durableId="1107193471">
    <w:abstractNumId w:val="36"/>
  </w:num>
  <w:num w:numId="19" w16cid:durableId="875316938">
    <w:abstractNumId w:val="57"/>
  </w:num>
  <w:num w:numId="20" w16cid:durableId="2129860064">
    <w:abstractNumId w:val="91"/>
  </w:num>
  <w:num w:numId="21" w16cid:durableId="1795824557">
    <w:abstractNumId w:val="37"/>
  </w:num>
  <w:num w:numId="22" w16cid:durableId="1659337898">
    <w:abstractNumId w:val="84"/>
  </w:num>
  <w:num w:numId="23" w16cid:durableId="2056732737">
    <w:abstractNumId w:val="28"/>
  </w:num>
  <w:num w:numId="24" w16cid:durableId="936865541">
    <w:abstractNumId w:val="3"/>
  </w:num>
  <w:num w:numId="25" w16cid:durableId="1712653508">
    <w:abstractNumId w:val="52"/>
  </w:num>
  <w:num w:numId="26" w16cid:durableId="108471230">
    <w:abstractNumId w:val="39"/>
  </w:num>
  <w:num w:numId="27" w16cid:durableId="1917935206">
    <w:abstractNumId w:val="2"/>
  </w:num>
  <w:num w:numId="28" w16cid:durableId="789201726">
    <w:abstractNumId w:val="22"/>
  </w:num>
  <w:num w:numId="29" w16cid:durableId="1728722918">
    <w:abstractNumId w:val="94"/>
  </w:num>
  <w:num w:numId="30" w16cid:durableId="587663603">
    <w:abstractNumId w:val="68"/>
  </w:num>
  <w:num w:numId="31" w16cid:durableId="72166324">
    <w:abstractNumId w:val="8"/>
  </w:num>
  <w:num w:numId="32" w16cid:durableId="1631325735">
    <w:abstractNumId w:val="74"/>
  </w:num>
  <w:num w:numId="33" w16cid:durableId="1629237958">
    <w:abstractNumId w:val="5"/>
  </w:num>
  <w:num w:numId="34" w16cid:durableId="91096366">
    <w:abstractNumId w:val="89"/>
  </w:num>
  <w:num w:numId="35" w16cid:durableId="1654214612">
    <w:abstractNumId w:val="33"/>
  </w:num>
  <w:num w:numId="36" w16cid:durableId="1082335286">
    <w:abstractNumId w:val="23"/>
  </w:num>
  <w:num w:numId="37" w16cid:durableId="2051613263">
    <w:abstractNumId w:val="0"/>
  </w:num>
  <w:num w:numId="38" w16cid:durableId="1577010184">
    <w:abstractNumId w:val="6"/>
  </w:num>
  <w:num w:numId="39" w16cid:durableId="1804347248">
    <w:abstractNumId w:val="80"/>
  </w:num>
  <w:num w:numId="40" w16cid:durableId="713313005">
    <w:abstractNumId w:val="98"/>
  </w:num>
  <w:num w:numId="41" w16cid:durableId="568879077">
    <w:abstractNumId w:val="97"/>
  </w:num>
  <w:num w:numId="42" w16cid:durableId="592398037">
    <w:abstractNumId w:val="93"/>
  </w:num>
  <w:num w:numId="43" w16cid:durableId="539318759">
    <w:abstractNumId w:val="63"/>
  </w:num>
  <w:num w:numId="44" w16cid:durableId="1200241800">
    <w:abstractNumId w:val="21"/>
  </w:num>
  <w:num w:numId="45" w16cid:durableId="1990161001">
    <w:abstractNumId w:val="48"/>
  </w:num>
  <w:num w:numId="46" w16cid:durableId="1726756154">
    <w:abstractNumId w:val="96"/>
  </w:num>
  <w:num w:numId="47" w16cid:durableId="1095902359">
    <w:abstractNumId w:val="66"/>
  </w:num>
  <w:num w:numId="48" w16cid:durableId="2112124272">
    <w:abstractNumId w:val="50"/>
  </w:num>
  <w:num w:numId="49" w16cid:durableId="441270091">
    <w:abstractNumId w:val="83"/>
  </w:num>
  <w:num w:numId="50" w16cid:durableId="1608463970">
    <w:abstractNumId w:val="78"/>
  </w:num>
  <w:num w:numId="51" w16cid:durableId="383528737">
    <w:abstractNumId w:val="14"/>
  </w:num>
  <w:num w:numId="52" w16cid:durableId="1394936833">
    <w:abstractNumId w:val="55"/>
  </w:num>
  <w:num w:numId="53" w16cid:durableId="640619856">
    <w:abstractNumId w:val="85"/>
  </w:num>
  <w:num w:numId="54" w16cid:durableId="1366979894">
    <w:abstractNumId w:val="1"/>
  </w:num>
  <w:num w:numId="55" w16cid:durableId="1540971687">
    <w:abstractNumId w:val="62"/>
  </w:num>
  <w:num w:numId="56" w16cid:durableId="771241990">
    <w:abstractNumId w:val="77"/>
  </w:num>
  <w:num w:numId="57" w16cid:durableId="157963473">
    <w:abstractNumId w:val="15"/>
  </w:num>
  <w:num w:numId="58" w16cid:durableId="400568348">
    <w:abstractNumId w:val="42"/>
  </w:num>
  <w:num w:numId="59" w16cid:durableId="1314213530">
    <w:abstractNumId w:val="71"/>
  </w:num>
  <w:num w:numId="60" w16cid:durableId="1012801538">
    <w:abstractNumId w:val="92"/>
  </w:num>
  <w:num w:numId="61" w16cid:durableId="1461267338">
    <w:abstractNumId w:val="31"/>
  </w:num>
  <w:num w:numId="62" w16cid:durableId="298413445">
    <w:abstractNumId w:val="88"/>
  </w:num>
  <w:num w:numId="63" w16cid:durableId="1685084708">
    <w:abstractNumId w:val="40"/>
  </w:num>
  <w:num w:numId="64" w16cid:durableId="624652625">
    <w:abstractNumId w:val="35"/>
  </w:num>
  <w:num w:numId="65" w16cid:durableId="204217243">
    <w:abstractNumId w:val="12"/>
  </w:num>
  <w:num w:numId="66" w16cid:durableId="1004555612">
    <w:abstractNumId w:val="100"/>
  </w:num>
  <w:num w:numId="67" w16cid:durableId="385683820">
    <w:abstractNumId w:val="46"/>
  </w:num>
  <w:num w:numId="68" w16cid:durableId="357128154">
    <w:abstractNumId w:val="59"/>
  </w:num>
  <w:num w:numId="69" w16cid:durableId="221872024">
    <w:abstractNumId w:val="61"/>
  </w:num>
  <w:num w:numId="70" w16cid:durableId="1217932168">
    <w:abstractNumId w:val="87"/>
  </w:num>
  <w:num w:numId="71" w16cid:durableId="1241020166">
    <w:abstractNumId w:val="86"/>
  </w:num>
  <w:num w:numId="72" w16cid:durableId="1842162860">
    <w:abstractNumId w:val="70"/>
  </w:num>
  <w:num w:numId="73" w16cid:durableId="2033334117">
    <w:abstractNumId w:val="99"/>
  </w:num>
  <w:num w:numId="74" w16cid:durableId="1265503698">
    <w:abstractNumId w:val="51"/>
  </w:num>
  <w:num w:numId="75" w16cid:durableId="1885868919">
    <w:abstractNumId w:val="81"/>
  </w:num>
  <w:num w:numId="76" w16cid:durableId="2088503138">
    <w:abstractNumId w:val="32"/>
  </w:num>
  <w:num w:numId="77" w16cid:durableId="1659841921">
    <w:abstractNumId w:val="76"/>
  </w:num>
  <w:num w:numId="78" w16cid:durableId="2040087145">
    <w:abstractNumId w:val="19"/>
  </w:num>
  <w:num w:numId="79" w16cid:durableId="2090148838">
    <w:abstractNumId w:val="20"/>
  </w:num>
  <w:num w:numId="80" w16cid:durableId="1118332432">
    <w:abstractNumId w:val="54"/>
  </w:num>
  <w:num w:numId="81" w16cid:durableId="1261644272">
    <w:abstractNumId w:val="47"/>
  </w:num>
  <w:num w:numId="82" w16cid:durableId="135146689">
    <w:abstractNumId w:val="45"/>
  </w:num>
  <w:num w:numId="83" w16cid:durableId="506988390">
    <w:abstractNumId w:val="11"/>
  </w:num>
  <w:num w:numId="84" w16cid:durableId="256720482">
    <w:abstractNumId w:val="67"/>
  </w:num>
  <w:num w:numId="85" w16cid:durableId="1986079047">
    <w:abstractNumId w:val="43"/>
  </w:num>
  <w:num w:numId="86" w16cid:durableId="1049189807">
    <w:abstractNumId w:val="24"/>
  </w:num>
  <w:num w:numId="87" w16cid:durableId="1467770747">
    <w:abstractNumId w:val="82"/>
  </w:num>
  <w:num w:numId="88" w16cid:durableId="868418545">
    <w:abstractNumId w:val="17"/>
  </w:num>
  <w:num w:numId="89" w16cid:durableId="1548764313">
    <w:abstractNumId w:val="4"/>
  </w:num>
  <w:num w:numId="90" w16cid:durableId="1385905367">
    <w:abstractNumId w:val="56"/>
  </w:num>
  <w:num w:numId="91" w16cid:durableId="884876630">
    <w:abstractNumId w:val="38"/>
  </w:num>
  <w:num w:numId="92" w16cid:durableId="26293491">
    <w:abstractNumId w:val="90"/>
  </w:num>
  <w:num w:numId="93" w16cid:durableId="138807868">
    <w:abstractNumId w:val="95"/>
  </w:num>
  <w:num w:numId="94" w16cid:durableId="935553295">
    <w:abstractNumId w:val="30"/>
  </w:num>
  <w:num w:numId="95" w16cid:durableId="1588614900">
    <w:abstractNumId w:val="9"/>
  </w:num>
  <w:num w:numId="96" w16cid:durableId="709695947">
    <w:abstractNumId w:val="29"/>
  </w:num>
  <w:num w:numId="97" w16cid:durableId="2124035483">
    <w:abstractNumId w:val="58"/>
  </w:num>
  <w:num w:numId="98" w16cid:durableId="818348036">
    <w:abstractNumId w:val="16"/>
  </w:num>
  <w:num w:numId="99" w16cid:durableId="594021824">
    <w:abstractNumId w:val="7"/>
  </w:num>
  <w:num w:numId="100" w16cid:durableId="1037243031">
    <w:abstractNumId w:val="69"/>
  </w:num>
  <w:num w:numId="101" w16cid:durableId="466972317">
    <w:abstractNumId w:val="4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7F"/>
    <w:rsid w:val="00000E2B"/>
    <w:rsid w:val="00001965"/>
    <w:rsid w:val="00001B13"/>
    <w:rsid w:val="00002230"/>
    <w:rsid w:val="0000265C"/>
    <w:rsid w:val="00003601"/>
    <w:rsid w:val="00003D38"/>
    <w:rsid w:val="00004A72"/>
    <w:rsid w:val="000065A5"/>
    <w:rsid w:val="00011003"/>
    <w:rsid w:val="000116EA"/>
    <w:rsid w:val="000126B4"/>
    <w:rsid w:val="00015AAF"/>
    <w:rsid w:val="00017856"/>
    <w:rsid w:val="0002181D"/>
    <w:rsid w:val="00021A2E"/>
    <w:rsid w:val="00022662"/>
    <w:rsid w:val="0002279F"/>
    <w:rsid w:val="000232B9"/>
    <w:rsid w:val="00023C38"/>
    <w:rsid w:val="00025145"/>
    <w:rsid w:val="0002672C"/>
    <w:rsid w:val="0002674A"/>
    <w:rsid w:val="000272DF"/>
    <w:rsid w:val="00027651"/>
    <w:rsid w:val="000278BF"/>
    <w:rsid w:val="00030157"/>
    <w:rsid w:val="00031197"/>
    <w:rsid w:val="000313F4"/>
    <w:rsid w:val="000318B4"/>
    <w:rsid w:val="000321BA"/>
    <w:rsid w:val="00032746"/>
    <w:rsid w:val="000347CE"/>
    <w:rsid w:val="00034DA8"/>
    <w:rsid w:val="00034E06"/>
    <w:rsid w:val="000353A6"/>
    <w:rsid w:val="00035732"/>
    <w:rsid w:val="00035CAA"/>
    <w:rsid w:val="00037FCF"/>
    <w:rsid w:val="000413EE"/>
    <w:rsid w:val="00041DF9"/>
    <w:rsid w:val="00041E99"/>
    <w:rsid w:val="0004260A"/>
    <w:rsid w:val="00045B2C"/>
    <w:rsid w:val="00045E1E"/>
    <w:rsid w:val="00046D15"/>
    <w:rsid w:val="00046F79"/>
    <w:rsid w:val="00047341"/>
    <w:rsid w:val="0005056E"/>
    <w:rsid w:val="0005071A"/>
    <w:rsid w:val="000510BF"/>
    <w:rsid w:val="00051C5E"/>
    <w:rsid w:val="00052226"/>
    <w:rsid w:val="000524DC"/>
    <w:rsid w:val="00053C6B"/>
    <w:rsid w:val="00053EAA"/>
    <w:rsid w:val="000540BE"/>
    <w:rsid w:val="00054437"/>
    <w:rsid w:val="00054A06"/>
    <w:rsid w:val="000551E6"/>
    <w:rsid w:val="000554F6"/>
    <w:rsid w:val="00055DBC"/>
    <w:rsid w:val="000567A7"/>
    <w:rsid w:val="0005723F"/>
    <w:rsid w:val="00057905"/>
    <w:rsid w:val="000609F8"/>
    <w:rsid w:val="00061D4F"/>
    <w:rsid w:val="00062603"/>
    <w:rsid w:val="00062714"/>
    <w:rsid w:val="0006379F"/>
    <w:rsid w:val="00064285"/>
    <w:rsid w:val="00064B96"/>
    <w:rsid w:val="00064FE5"/>
    <w:rsid w:val="00067D5B"/>
    <w:rsid w:val="0007016C"/>
    <w:rsid w:val="000707AC"/>
    <w:rsid w:val="00071F02"/>
    <w:rsid w:val="000760CC"/>
    <w:rsid w:val="00080F60"/>
    <w:rsid w:val="00081FCF"/>
    <w:rsid w:val="000821EC"/>
    <w:rsid w:val="00085956"/>
    <w:rsid w:val="000860E8"/>
    <w:rsid w:val="0008699C"/>
    <w:rsid w:val="00086D41"/>
    <w:rsid w:val="00086EDE"/>
    <w:rsid w:val="00086FEC"/>
    <w:rsid w:val="000875CF"/>
    <w:rsid w:val="00090BB8"/>
    <w:rsid w:val="00091AF4"/>
    <w:rsid w:val="00093169"/>
    <w:rsid w:val="00094706"/>
    <w:rsid w:val="00095038"/>
    <w:rsid w:val="000950EB"/>
    <w:rsid w:val="00095E8C"/>
    <w:rsid w:val="000A064B"/>
    <w:rsid w:val="000A2BA4"/>
    <w:rsid w:val="000A2D32"/>
    <w:rsid w:val="000A51C2"/>
    <w:rsid w:val="000A5E75"/>
    <w:rsid w:val="000A6147"/>
    <w:rsid w:val="000A6E0F"/>
    <w:rsid w:val="000A70D2"/>
    <w:rsid w:val="000A75C5"/>
    <w:rsid w:val="000A7BA7"/>
    <w:rsid w:val="000B11D0"/>
    <w:rsid w:val="000B19D1"/>
    <w:rsid w:val="000B479E"/>
    <w:rsid w:val="000B4B22"/>
    <w:rsid w:val="000B4F36"/>
    <w:rsid w:val="000B5AD6"/>
    <w:rsid w:val="000B6718"/>
    <w:rsid w:val="000C0ECD"/>
    <w:rsid w:val="000C144D"/>
    <w:rsid w:val="000C2A28"/>
    <w:rsid w:val="000C31C6"/>
    <w:rsid w:val="000C5441"/>
    <w:rsid w:val="000C56D5"/>
    <w:rsid w:val="000C5C77"/>
    <w:rsid w:val="000C6953"/>
    <w:rsid w:val="000C7581"/>
    <w:rsid w:val="000D2577"/>
    <w:rsid w:val="000D4650"/>
    <w:rsid w:val="000D59FA"/>
    <w:rsid w:val="000D6A23"/>
    <w:rsid w:val="000D7FB7"/>
    <w:rsid w:val="000E10CF"/>
    <w:rsid w:val="000E17C6"/>
    <w:rsid w:val="000E5935"/>
    <w:rsid w:val="000E5B9D"/>
    <w:rsid w:val="000E5DF0"/>
    <w:rsid w:val="000F3158"/>
    <w:rsid w:val="000F5455"/>
    <w:rsid w:val="000F67B4"/>
    <w:rsid w:val="000F6BE3"/>
    <w:rsid w:val="000F78D1"/>
    <w:rsid w:val="00100EFC"/>
    <w:rsid w:val="00101434"/>
    <w:rsid w:val="001019D1"/>
    <w:rsid w:val="001028B0"/>
    <w:rsid w:val="001029B4"/>
    <w:rsid w:val="001030BB"/>
    <w:rsid w:val="00104967"/>
    <w:rsid w:val="001065DB"/>
    <w:rsid w:val="00111303"/>
    <w:rsid w:val="00111426"/>
    <w:rsid w:val="00112F49"/>
    <w:rsid w:val="00116171"/>
    <w:rsid w:val="00116D08"/>
    <w:rsid w:val="0011788B"/>
    <w:rsid w:val="001211A2"/>
    <w:rsid w:val="001225EA"/>
    <w:rsid w:val="00122F37"/>
    <w:rsid w:val="00123B12"/>
    <w:rsid w:val="00125899"/>
    <w:rsid w:val="00126380"/>
    <w:rsid w:val="00127A35"/>
    <w:rsid w:val="00130825"/>
    <w:rsid w:val="001309F3"/>
    <w:rsid w:val="00130E6F"/>
    <w:rsid w:val="001310CD"/>
    <w:rsid w:val="001322B6"/>
    <w:rsid w:val="00132F51"/>
    <w:rsid w:val="00133307"/>
    <w:rsid w:val="00133521"/>
    <w:rsid w:val="00133DE7"/>
    <w:rsid w:val="00133FDE"/>
    <w:rsid w:val="001344B8"/>
    <w:rsid w:val="00134E47"/>
    <w:rsid w:val="00135324"/>
    <w:rsid w:val="00136016"/>
    <w:rsid w:val="001361DB"/>
    <w:rsid w:val="00136622"/>
    <w:rsid w:val="00137DC9"/>
    <w:rsid w:val="00144BDB"/>
    <w:rsid w:val="0014515D"/>
    <w:rsid w:val="001467F4"/>
    <w:rsid w:val="00146E0C"/>
    <w:rsid w:val="00150512"/>
    <w:rsid w:val="00150A60"/>
    <w:rsid w:val="00150D3B"/>
    <w:rsid w:val="001512A2"/>
    <w:rsid w:val="00151F29"/>
    <w:rsid w:val="00152187"/>
    <w:rsid w:val="0015379B"/>
    <w:rsid w:val="00154136"/>
    <w:rsid w:val="00154331"/>
    <w:rsid w:val="00155B54"/>
    <w:rsid w:val="00155BE5"/>
    <w:rsid w:val="00155EEF"/>
    <w:rsid w:val="00156EC4"/>
    <w:rsid w:val="00160160"/>
    <w:rsid w:val="0016180C"/>
    <w:rsid w:val="00163A1E"/>
    <w:rsid w:val="00164552"/>
    <w:rsid w:val="001648E6"/>
    <w:rsid w:val="00165703"/>
    <w:rsid w:val="00165970"/>
    <w:rsid w:val="00170CC0"/>
    <w:rsid w:val="0017190D"/>
    <w:rsid w:val="0017297C"/>
    <w:rsid w:val="00172CA0"/>
    <w:rsid w:val="0017552F"/>
    <w:rsid w:val="00175C80"/>
    <w:rsid w:val="00175E53"/>
    <w:rsid w:val="001779BA"/>
    <w:rsid w:val="00177E7D"/>
    <w:rsid w:val="001801CA"/>
    <w:rsid w:val="001819B8"/>
    <w:rsid w:val="001836F6"/>
    <w:rsid w:val="00184BBC"/>
    <w:rsid w:val="001877D9"/>
    <w:rsid w:val="00190086"/>
    <w:rsid w:val="00191251"/>
    <w:rsid w:val="00191DE6"/>
    <w:rsid w:val="00192B04"/>
    <w:rsid w:val="00193062"/>
    <w:rsid w:val="001938C8"/>
    <w:rsid w:val="001954DA"/>
    <w:rsid w:val="001969AF"/>
    <w:rsid w:val="00196B16"/>
    <w:rsid w:val="0019724C"/>
    <w:rsid w:val="001A1F66"/>
    <w:rsid w:val="001A2597"/>
    <w:rsid w:val="001A3B0C"/>
    <w:rsid w:val="001A439A"/>
    <w:rsid w:val="001A6A9E"/>
    <w:rsid w:val="001A6D8E"/>
    <w:rsid w:val="001A74B8"/>
    <w:rsid w:val="001A7906"/>
    <w:rsid w:val="001B00EE"/>
    <w:rsid w:val="001B03D5"/>
    <w:rsid w:val="001B0E55"/>
    <w:rsid w:val="001B1A2F"/>
    <w:rsid w:val="001B3DA2"/>
    <w:rsid w:val="001B4B2C"/>
    <w:rsid w:val="001B5311"/>
    <w:rsid w:val="001B6389"/>
    <w:rsid w:val="001B694D"/>
    <w:rsid w:val="001C0653"/>
    <w:rsid w:val="001C066A"/>
    <w:rsid w:val="001C06E5"/>
    <w:rsid w:val="001C1AF9"/>
    <w:rsid w:val="001C3AA7"/>
    <w:rsid w:val="001C49B3"/>
    <w:rsid w:val="001C5FA9"/>
    <w:rsid w:val="001C7D4C"/>
    <w:rsid w:val="001D02D3"/>
    <w:rsid w:val="001D07FF"/>
    <w:rsid w:val="001D3E26"/>
    <w:rsid w:val="001D4DA4"/>
    <w:rsid w:val="001D4DD8"/>
    <w:rsid w:val="001D7C81"/>
    <w:rsid w:val="001E01D5"/>
    <w:rsid w:val="001E02D1"/>
    <w:rsid w:val="001E0D37"/>
    <w:rsid w:val="001E1CCA"/>
    <w:rsid w:val="001E1D4C"/>
    <w:rsid w:val="001E3431"/>
    <w:rsid w:val="001E3FCC"/>
    <w:rsid w:val="001E455D"/>
    <w:rsid w:val="001E5A28"/>
    <w:rsid w:val="001E5BD2"/>
    <w:rsid w:val="001F0C27"/>
    <w:rsid w:val="001F3DB5"/>
    <w:rsid w:val="001F4117"/>
    <w:rsid w:val="001F413F"/>
    <w:rsid w:val="001F422C"/>
    <w:rsid w:val="001F74D1"/>
    <w:rsid w:val="001F7B0C"/>
    <w:rsid w:val="001F7F99"/>
    <w:rsid w:val="00201157"/>
    <w:rsid w:val="00201F57"/>
    <w:rsid w:val="00203816"/>
    <w:rsid w:val="00203C38"/>
    <w:rsid w:val="00204883"/>
    <w:rsid w:val="002050AF"/>
    <w:rsid w:val="0020528B"/>
    <w:rsid w:val="002060B2"/>
    <w:rsid w:val="00206460"/>
    <w:rsid w:val="00206ED7"/>
    <w:rsid w:val="00206F73"/>
    <w:rsid w:val="00210822"/>
    <w:rsid w:val="00211871"/>
    <w:rsid w:val="00211E75"/>
    <w:rsid w:val="00212111"/>
    <w:rsid w:val="002122FE"/>
    <w:rsid w:val="00212DC1"/>
    <w:rsid w:val="00216972"/>
    <w:rsid w:val="00220158"/>
    <w:rsid w:val="002206EA"/>
    <w:rsid w:val="00220C9C"/>
    <w:rsid w:val="002215CB"/>
    <w:rsid w:val="002216E9"/>
    <w:rsid w:val="00222A6C"/>
    <w:rsid w:val="00223043"/>
    <w:rsid w:val="002232D7"/>
    <w:rsid w:val="00224C91"/>
    <w:rsid w:val="00225474"/>
    <w:rsid w:val="00225C2A"/>
    <w:rsid w:val="00225E19"/>
    <w:rsid w:val="0022733F"/>
    <w:rsid w:val="00227684"/>
    <w:rsid w:val="002300F5"/>
    <w:rsid w:val="00230669"/>
    <w:rsid w:val="00231A75"/>
    <w:rsid w:val="00232645"/>
    <w:rsid w:val="002329AA"/>
    <w:rsid w:val="002330C1"/>
    <w:rsid w:val="00233837"/>
    <w:rsid w:val="0023567C"/>
    <w:rsid w:val="002362FC"/>
    <w:rsid w:val="0024267F"/>
    <w:rsid w:val="00243169"/>
    <w:rsid w:val="0024443A"/>
    <w:rsid w:val="00245926"/>
    <w:rsid w:val="00246F23"/>
    <w:rsid w:val="0024755B"/>
    <w:rsid w:val="00247E0F"/>
    <w:rsid w:val="00252165"/>
    <w:rsid w:val="002529CA"/>
    <w:rsid w:val="002536A2"/>
    <w:rsid w:val="00254CCD"/>
    <w:rsid w:val="0026196C"/>
    <w:rsid w:val="00266768"/>
    <w:rsid w:val="00266D7F"/>
    <w:rsid w:val="002671A9"/>
    <w:rsid w:val="0027051E"/>
    <w:rsid w:val="00274872"/>
    <w:rsid w:val="00274C98"/>
    <w:rsid w:val="002772DF"/>
    <w:rsid w:val="00277A5E"/>
    <w:rsid w:val="00277EC3"/>
    <w:rsid w:val="00280483"/>
    <w:rsid w:val="0028075A"/>
    <w:rsid w:val="00280B2A"/>
    <w:rsid w:val="0028143D"/>
    <w:rsid w:val="002819EE"/>
    <w:rsid w:val="0028232C"/>
    <w:rsid w:val="0028421F"/>
    <w:rsid w:val="00284344"/>
    <w:rsid w:val="0028461B"/>
    <w:rsid w:val="00284629"/>
    <w:rsid w:val="0028580A"/>
    <w:rsid w:val="00285A3A"/>
    <w:rsid w:val="00287223"/>
    <w:rsid w:val="00290B89"/>
    <w:rsid w:val="002927DC"/>
    <w:rsid w:val="00292B13"/>
    <w:rsid w:val="00292D46"/>
    <w:rsid w:val="002938D6"/>
    <w:rsid w:val="00293B51"/>
    <w:rsid w:val="00293CE1"/>
    <w:rsid w:val="00293F43"/>
    <w:rsid w:val="002943B1"/>
    <w:rsid w:val="002948C8"/>
    <w:rsid w:val="00297EF1"/>
    <w:rsid w:val="002A0144"/>
    <w:rsid w:val="002A1385"/>
    <w:rsid w:val="002A1C2A"/>
    <w:rsid w:val="002A2127"/>
    <w:rsid w:val="002A32D4"/>
    <w:rsid w:val="002A3402"/>
    <w:rsid w:val="002A3C22"/>
    <w:rsid w:val="002A4B67"/>
    <w:rsid w:val="002A4DDA"/>
    <w:rsid w:val="002A5244"/>
    <w:rsid w:val="002A5AA4"/>
    <w:rsid w:val="002A6D24"/>
    <w:rsid w:val="002B030E"/>
    <w:rsid w:val="002B09EC"/>
    <w:rsid w:val="002B44F6"/>
    <w:rsid w:val="002B4F9F"/>
    <w:rsid w:val="002B67A9"/>
    <w:rsid w:val="002C1B2B"/>
    <w:rsid w:val="002C3FCD"/>
    <w:rsid w:val="002C48CE"/>
    <w:rsid w:val="002C4B77"/>
    <w:rsid w:val="002C50C3"/>
    <w:rsid w:val="002C56C8"/>
    <w:rsid w:val="002C6849"/>
    <w:rsid w:val="002C6C47"/>
    <w:rsid w:val="002C7631"/>
    <w:rsid w:val="002D156B"/>
    <w:rsid w:val="002D1BE9"/>
    <w:rsid w:val="002D2347"/>
    <w:rsid w:val="002D3164"/>
    <w:rsid w:val="002D3182"/>
    <w:rsid w:val="002D3A9B"/>
    <w:rsid w:val="002D4E65"/>
    <w:rsid w:val="002D7607"/>
    <w:rsid w:val="002E0BB6"/>
    <w:rsid w:val="002E0C3C"/>
    <w:rsid w:val="002E2344"/>
    <w:rsid w:val="002E3BE3"/>
    <w:rsid w:val="002E5231"/>
    <w:rsid w:val="002E67DE"/>
    <w:rsid w:val="002E74EC"/>
    <w:rsid w:val="002E7916"/>
    <w:rsid w:val="002E7CDB"/>
    <w:rsid w:val="002F0DD5"/>
    <w:rsid w:val="002F3731"/>
    <w:rsid w:val="002F4DBA"/>
    <w:rsid w:val="002F68E4"/>
    <w:rsid w:val="002F7845"/>
    <w:rsid w:val="00300054"/>
    <w:rsid w:val="00301102"/>
    <w:rsid w:val="0030265D"/>
    <w:rsid w:val="003032F3"/>
    <w:rsid w:val="00304086"/>
    <w:rsid w:val="00304A6E"/>
    <w:rsid w:val="00304D08"/>
    <w:rsid w:val="00306F29"/>
    <w:rsid w:val="003070FD"/>
    <w:rsid w:val="0031292E"/>
    <w:rsid w:val="0031407B"/>
    <w:rsid w:val="00314679"/>
    <w:rsid w:val="00316CAE"/>
    <w:rsid w:val="00320326"/>
    <w:rsid w:val="00320994"/>
    <w:rsid w:val="003211E1"/>
    <w:rsid w:val="003222E2"/>
    <w:rsid w:val="00322BB1"/>
    <w:rsid w:val="00322FF7"/>
    <w:rsid w:val="00325A7E"/>
    <w:rsid w:val="00327BC4"/>
    <w:rsid w:val="003302C0"/>
    <w:rsid w:val="00331555"/>
    <w:rsid w:val="0033253C"/>
    <w:rsid w:val="003333CE"/>
    <w:rsid w:val="00333CC1"/>
    <w:rsid w:val="00336E29"/>
    <w:rsid w:val="00337C65"/>
    <w:rsid w:val="003407FE"/>
    <w:rsid w:val="00343180"/>
    <w:rsid w:val="00346859"/>
    <w:rsid w:val="003470CB"/>
    <w:rsid w:val="00347E4E"/>
    <w:rsid w:val="00350A86"/>
    <w:rsid w:val="00350E8F"/>
    <w:rsid w:val="0035146D"/>
    <w:rsid w:val="0035178D"/>
    <w:rsid w:val="00352CCF"/>
    <w:rsid w:val="00353906"/>
    <w:rsid w:val="003547DE"/>
    <w:rsid w:val="00354B2C"/>
    <w:rsid w:val="0035574E"/>
    <w:rsid w:val="003568E0"/>
    <w:rsid w:val="00357F27"/>
    <w:rsid w:val="003600D5"/>
    <w:rsid w:val="00360BD7"/>
    <w:rsid w:val="00361A0D"/>
    <w:rsid w:val="00361C95"/>
    <w:rsid w:val="00362565"/>
    <w:rsid w:val="00362983"/>
    <w:rsid w:val="00362B58"/>
    <w:rsid w:val="00362F1E"/>
    <w:rsid w:val="0036535B"/>
    <w:rsid w:val="00365921"/>
    <w:rsid w:val="00365A05"/>
    <w:rsid w:val="00366513"/>
    <w:rsid w:val="0036752D"/>
    <w:rsid w:val="00367BED"/>
    <w:rsid w:val="00372157"/>
    <w:rsid w:val="00372AD5"/>
    <w:rsid w:val="00372D2E"/>
    <w:rsid w:val="003737D9"/>
    <w:rsid w:val="00374D0F"/>
    <w:rsid w:val="00375B92"/>
    <w:rsid w:val="00377CB0"/>
    <w:rsid w:val="00380446"/>
    <w:rsid w:val="00381053"/>
    <w:rsid w:val="00381126"/>
    <w:rsid w:val="003817B7"/>
    <w:rsid w:val="00382068"/>
    <w:rsid w:val="0038239D"/>
    <w:rsid w:val="00382C81"/>
    <w:rsid w:val="00383B2A"/>
    <w:rsid w:val="00384494"/>
    <w:rsid w:val="003857DB"/>
    <w:rsid w:val="00385AE1"/>
    <w:rsid w:val="003876CE"/>
    <w:rsid w:val="0038789F"/>
    <w:rsid w:val="0038793D"/>
    <w:rsid w:val="00391019"/>
    <w:rsid w:val="003927AD"/>
    <w:rsid w:val="00392B54"/>
    <w:rsid w:val="003946FC"/>
    <w:rsid w:val="00394B2D"/>
    <w:rsid w:val="00394D38"/>
    <w:rsid w:val="00395E72"/>
    <w:rsid w:val="00396484"/>
    <w:rsid w:val="003964F6"/>
    <w:rsid w:val="00397C51"/>
    <w:rsid w:val="003A01E4"/>
    <w:rsid w:val="003A07CE"/>
    <w:rsid w:val="003A216F"/>
    <w:rsid w:val="003A31C3"/>
    <w:rsid w:val="003A3962"/>
    <w:rsid w:val="003A4B59"/>
    <w:rsid w:val="003A703F"/>
    <w:rsid w:val="003B1D48"/>
    <w:rsid w:val="003B30D3"/>
    <w:rsid w:val="003B34F9"/>
    <w:rsid w:val="003B3BD9"/>
    <w:rsid w:val="003B3BE6"/>
    <w:rsid w:val="003B49A8"/>
    <w:rsid w:val="003B59A1"/>
    <w:rsid w:val="003B68CF"/>
    <w:rsid w:val="003B7679"/>
    <w:rsid w:val="003B79E4"/>
    <w:rsid w:val="003C0361"/>
    <w:rsid w:val="003C0555"/>
    <w:rsid w:val="003C21C2"/>
    <w:rsid w:val="003C44C3"/>
    <w:rsid w:val="003C5BD3"/>
    <w:rsid w:val="003C6578"/>
    <w:rsid w:val="003C6ADF"/>
    <w:rsid w:val="003D00EA"/>
    <w:rsid w:val="003D04E4"/>
    <w:rsid w:val="003D2518"/>
    <w:rsid w:val="003D2912"/>
    <w:rsid w:val="003D2AB1"/>
    <w:rsid w:val="003D31B8"/>
    <w:rsid w:val="003D3519"/>
    <w:rsid w:val="003D4A7E"/>
    <w:rsid w:val="003D59ED"/>
    <w:rsid w:val="003D723F"/>
    <w:rsid w:val="003E05A7"/>
    <w:rsid w:val="003E1451"/>
    <w:rsid w:val="003E1877"/>
    <w:rsid w:val="003E433F"/>
    <w:rsid w:val="003E5491"/>
    <w:rsid w:val="003E6207"/>
    <w:rsid w:val="003F1E1F"/>
    <w:rsid w:val="003F253F"/>
    <w:rsid w:val="003F4D9C"/>
    <w:rsid w:val="003F5C32"/>
    <w:rsid w:val="003F6879"/>
    <w:rsid w:val="00400FEF"/>
    <w:rsid w:val="0040119A"/>
    <w:rsid w:val="004018CD"/>
    <w:rsid w:val="00401A7E"/>
    <w:rsid w:val="00402ACE"/>
    <w:rsid w:val="004037E9"/>
    <w:rsid w:val="0040417C"/>
    <w:rsid w:val="0040596C"/>
    <w:rsid w:val="00410BE6"/>
    <w:rsid w:val="00410D02"/>
    <w:rsid w:val="004132B2"/>
    <w:rsid w:val="00413741"/>
    <w:rsid w:val="00415954"/>
    <w:rsid w:val="00421305"/>
    <w:rsid w:val="004223AA"/>
    <w:rsid w:val="004228A9"/>
    <w:rsid w:val="00424F24"/>
    <w:rsid w:val="00425C3C"/>
    <w:rsid w:val="00426A13"/>
    <w:rsid w:val="004301A6"/>
    <w:rsid w:val="00430EA7"/>
    <w:rsid w:val="004315E6"/>
    <w:rsid w:val="00431691"/>
    <w:rsid w:val="00432054"/>
    <w:rsid w:val="00432F68"/>
    <w:rsid w:val="00433BBC"/>
    <w:rsid w:val="00433F40"/>
    <w:rsid w:val="00437565"/>
    <w:rsid w:val="00442FD6"/>
    <w:rsid w:val="00443105"/>
    <w:rsid w:val="00444526"/>
    <w:rsid w:val="00445DCC"/>
    <w:rsid w:val="0044630F"/>
    <w:rsid w:val="00447B89"/>
    <w:rsid w:val="00450598"/>
    <w:rsid w:val="00452CF1"/>
    <w:rsid w:val="00455450"/>
    <w:rsid w:val="0045641E"/>
    <w:rsid w:val="004569F8"/>
    <w:rsid w:val="00456ED0"/>
    <w:rsid w:val="00460FDF"/>
    <w:rsid w:val="004611C9"/>
    <w:rsid w:val="00471BFC"/>
    <w:rsid w:val="004720E4"/>
    <w:rsid w:val="004722C4"/>
    <w:rsid w:val="00472879"/>
    <w:rsid w:val="004743BA"/>
    <w:rsid w:val="00474B02"/>
    <w:rsid w:val="00474E7F"/>
    <w:rsid w:val="0048005C"/>
    <w:rsid w:val="00480318"/>
    <w:rsid w:val="004804F4"/>
    <w:rsid w:val="004813B3"/>
    <w:rsid w:val="00482573"/>
    <w:rsid w:val="00483A6F"/>
    <w:rsid w:val="00484626"/>
    <w:rsid w:val="0048525C"/>
    <w:rsid w:val="0048534F"/>
    <w:rsid w:val="00485F09"/>
    <w:rsid w:val="004870FD"/>
    <w:rsid w:val="00490A8F"/>
    <w:rsid w:val="004920C2"/>
    <w:rsid w:val="004920CC"/>
    <w:rsid w:val="00492344"/>
    <w:rsid w:val="00493CEB"/>
    <w:rsid w:val="0049410C"/>
    <w:rsid w:val="00496184"/>
    <w:rsid w:val="004963C1"/>
    <w:rsid w:val="00497ABB"/>
    <w:rsid w:val="004A061D"/>
    <w:rsid w:val="004A0BB5"/>
    <w:rsid w:val="004A34D9"/>
    <w:rsid w:val="004A381E"/>
    <w:rsid w:val="004A3C5C"/>
    <w:rsid w:val="004A3F18"/>
    <w:rsid w:val="004A4BEC"/>
    <w:rsid w:val="004A7436"/>
    <w:rsid w:val="004A7C37"/>
    <w:rsid w:val="004B1DBC"/>
    <w:rsid w:val="004B331B"/>
    <w:rsid w:val="004B3737"/>
    <w:rsid w:val="004B4ABC"/>
    <w:rsid w:val="004B78C3"/>
    <w:rsid w:val="004B7AB9"/>
    <w:rsid w:val="004C2C03"/>
    <w:rsid w:val="004C342E"/>
    <w:rsid w:val="004C4606"/>
    <w:rsid w:val="004C504A"/>
    <w:rsid w:val="004C575F"/>
    <w:rsid w:val="004C6AC4"/>
    <w:rsid w:val="004C6FA4"/>
    <w:rsid w:val="004C7826"/>
    <w:rsid w:val="004D2618"/>
    <w:rsid w:val="004D2F1C"/>
    <w:rsid w:val="004D2F9E"/>
    <w:rsid w:val="004D58F6"/>
    <w:rsid w:val="004D61C7"/>
    <w:rsid w:val="004D6D3A"/>
    <w:rsid w:val="004E0F46"/>
    <w:rsid w:val="004E29A1"/>
    <w:rsid w:val="004E348F"/>
    <w:rsid w:val="004E43B4"/>
    <w:rsid w:val="004E4A0F"/>
    <w:rsid w:val="004E5586"/>
    <w:rsid w:val="004E5D59"/>
    <w:rsid w:val="004E6044"/>
    <w:rsid w:val="004E6F5E"/>
    <w:rsid w:val="004E7027"/>
    <w:rsid w:val="004E7F56"/>
    <w:rsid w:val="004F18A2"/>
    <w:rsid w:val="004F2BE3"/>
    <w:rsid w:val="004F4341"/>
    <w:rsid w:val="004F4873"/>
    <w:rsid w:val="004F5A4E"/>
    <w:rsid w:val="004F7546"/>
    <w:rsid w:val="00500418"/>
    <w:rsid w:val="00502984"/>
    <w:rsid w:val="00503082"/>
    <w:rsid w:val="00504667"/>
    <w:rsid w:val="00505BFB"/>
    <w:rsid w:val="00507DF9"/>
    <w:rsid w:val="00510D9B"/>
    <w:rsid w:val="00513248"/>
    <w:rsid w:val="005146F8"/>
    <w:rsid w:val="00515865"/>
    <w:rsid w:val="0051680D"/>
    <w:rsid w:val="00520C08"/>
    <w:rsid w:val="00520FD7"/>
    <w:rsid w:val="0052239C"/>
    <w:rsid w:val="005231A6"/>
    <w:rsid w:val="00524956"/>
    <w:rsid w:val="00524C78"/>
    <w:rsid w:val="00525CC6"/>
    <w:rsid w:val="005276D9"/>
    <w:rsid w:val="005301BE"/>
    <w:rsid w:val="00532740"/>
    <w:rsid w:val="0053508E"/>
    <w:rsid w:val="00535F31"/>
    <w:rsid w:val="00536637"/>
    <w:rsid w:val="00536AEE"/>
    <w:rsid w:val="0053727C"/>
    <w:rsid w:val="00537CA0"/>
    <w:rsid w:val="00540869"/>
    <w:rsid w:val="005419AF"/>
    <w:rsid w:val="005427FF"/>
    <w:rsid w:val="00543AC6"/>
    <w:rsid w:val="005511CE"/>
    <w:rsid w:val="00551CE5"/>
    <w:rsid w:val="0055248F"/>
    <w:rsid w:val="00553343"/>
    <w:rsid w:val="00561284"/>
    <w:rsid w:val="0056202C"/>
    <w:rsid w:val="0056261F"/>
    <w:rsid w:val="005654CF"/>
    <w:rsid w:val="00570266"/>
    <w:rsid w:val="005707A7"/>
    <w:rsid w:val="00571601"/>
    <w:rsid w:val="0057200E"/>
    <w:rsid w:val="00572DC5"/>
    <w:rsid w:val="00575736"/>
    <w:rsid w:val="0057613D"/>
    <w:rsid w:val="00576774"/>
    <w:rsid w:val="00576835"/>
    <w:rsid w:val="0058001D"/>
    <w:rsid w:val="0058087A"/>
    <w:rsid w:val="00580CA2"/>
    <w:rsid w:val="005817D8"/>
    <w:rsid w:val="005833A5"/>
    <w:rsid w:val="00585D91"/>
    <w:rsid w:val="0058659D"/>
    <w:rsid w:val="005872FD"/>
    <w:rsid w:val="00587A11"/>
    <w:rsid w:val="00587F77"/>
    <w:rsid w:val="00592475"/>
    <w:rsid w:val="0059384A"/>
    <w:rsid w:val="005942E1"/>
    <w:rsid w:val="005946B5"/>
    <w:rsid w:val="00595B8A"/>
    <w:rsid w:val="00596441"/>
    <w:rsid w:val="0059678E"/>
    <w:rsid w:val="0059681F"/>
    <w:rsid w:val="005971BC"/>
    <w:rsid w:val="005A0080"/>
    <w:rsid w:val="005A1818"/>
    <w:rsid w:val="005A2C43"/>
    <w:rsid w:val="005A39C8"/>
    <w:rsid w:val="005A63F5"/>
    <w:rsid w:val="005A68CD"/>
    <w:rsid w:val="005A69B7"/>
    <w:rsid w:val="005A75E8"/>
    <w:rsid w:val="005A799A"/>
    <w:rsid w:val="005B090B"/>
    <w:rsid w:val="005B223F"/>
    <w:rsid w:val="005B244C"/>
    <w:rsid w:val="005B281E"/>
    <w:rsid w:val="005B3F04"/>
    <w:rsid w:val="005B4524"/>
    <w:rsid w:val="005B468F"/>
    <w:rsid w:val="005B4CD7"/>
    <w:rsid w:val="005B56D2"/>
    <w:rsid w:val="005C0068"/>
    <w:rsid w:val="005C0790"/>
    <w:rsid w:val="005C1B36"/>
    <w:rsid w:val="005C1C03"/>
    <w:rsid w:val="005C2F4C"/>
    <w:rsid w:val="005C7196"/>
    <w:rsid w:val="005D09B0"/>
    <w:rsid w:val="005D131D"/>
    <w:rsid w:val="005D1DDF"/>
    <w:rsid w:val="005D2D8E"/>
    <w:rsid w:val="005D58A3"/>
    <w:rsid w:val="005E00EE"/>
    <w:rsid w:val="005E069C"/>
    <w:rsid w:val="005E0E03"/>
    <w:rsid w:val="005E1146"/>
    <w:rsid w:val="005E286A"/>
    <w:rsid w:val="005E293B"/>
    <w:rsid w:val="005E3649"/>
    <w:rsid w:val="005E3B29"/>
    <w:rsid w:val="005E67D5"/>
    <w:rsid w:val="005E787B"/>
    <w:rsid w:val="005F0157"/>
    <w:rsid w:val="005F15A6"/>
    <w:rsid w:val="005F1F2C"/>
    <w:rsid w:val="005F22CD"/>
    <w:rsid w:val="005F56F1"/>
    <w:rsid w:val="005F79BA"/>
    <w:rsid w:val="00600422"/>
    <w:rsid w:val="00600633"/>
    <w:rsid w:val="0060063B"/>
    <w:rsid w:val="00601BE7"/>
    <w:rsid w:val="0060263A"/>
    <w:rsid w:val="0060286A"/>
    <w:rsid w:val="00602EC6"/>
    <w:rsid w:val="00603617"/>
    <w:rsid w:val="006038D7"/>
    <w:rsid w:val="00603AB3"/>
    <w:rsid w:val="00604CA3"/>
    <w:rsid w:val="00606E6D"/>
    <w:rsid w:val="006072E5"/>
    <w:rsid w:val="00607982"/>
    <w:rsid w:val="00607A71"/>
    <w:rsid w:val="00610AC6"/>
    <w:rsid w:val="006115E9"/>
    <w:rsid w:val="0061204E"/>
    <w:rsid w:val="0061435B"/>
    <w:rsid w:val="00615A0C"/>
    <w:rsid w:val="006176FC"/>
    <w:rsid w:val="00617E47"/>
    <w:rsid w:val="00620927"/>
    <w:rsid w:val="006214A9"/>
    <w:rsid w:val="006216CD"/>
    <w:rsid w:val="00621B18"/>
    <w:rsid w:val="006221E9"/>
    <w:rsid w:val="00622C8D"/>
    <w:rsid w:val="00622E08"/>
    <w:rsid w:val="00623C10"/>
    <w:rsid w:val="0062428C"/>
    <w:rsid w:val="006256B1"/>
    <w:rsid w:val="00625DB9"/>
    <w:rsid w:val="0063171A"/>
    <w:rsid w:val="00632E0A"/>
    <w:rsid w:val="006343C3"/>
    <w:rsid w:val="00634F47"/>
    <w:rsid w:val="006363CF"/>
    <w:rsid w:val="00636748"/>
    <w:rsid w:val="00637B63"/>
    <w:rsid w:val="00640870"/>
    <w:rsid w:val="00642393"/>
    <w:rsid w:val="0064445A"/>
    <w:rsid w:val="006463EF"/>
    <w:rsid w:val="00650BAB"/>
    <w:rsid w:val="0065100A"/>
    <w:rsid w:val="00651FB7"/>
    <w:rsid w:val="006529BE"/>
    <w:rsid w:val="00654469"/>
    <w:rsid w:val="006567B9"/>
    <w:rsid w:val="0066228F"/>
    <w:rsid w:val="006630AC"/>
    <w:rsid w:val="00663877"/>
    <w:rsid w:val="00663FD3"/>
    <w:rsid w:val="006640A0"/>
    <w:rsid w:val="0066447D"/>
    <w:rsid w:val="00666DBB"/>
    <w:rsid w:val="00672001"/>
    <w:rsid w:val="006722AA"/>
    <w:rsid w:val="00674A33"/>
    <w:rsid w:val="0067649E"/>
    <w:rsid w:val="00677A66"/>
    <w:rsid w:val="006806AE"/>
    <w:rsid w:val="00680F5C"/>
    <w:rsid w:val="00681038"/>
    <w:rsid w:val="00681686"/>
    <w:rsid w:val="00681A05"/>
    <w:rsid w:val="00682D38"/>
    <w:rsid w:val="00684196"/>
    <w:rsid w:val="00684893"/>
    <w:rsid w:val="006861F0"/>
    <w:rsid w:val="00686B62"/>
    <w:rsid w:val="00687A86"/>
    <w:rsid w:val="00690187"/>
    <w:rsid w:val="006901FF"/>
    <w:rsid w:val="006913D2"/>
    <w:rsid w:val="00691971"/>
    <w:rsid w:val="00691ABE"/>
    <w:rsid w:val="00692588"/>
    <w:rsid w:val="006926A0"/>
    <w:rsid w:val="00693992"/>
    <w:rsid w:val="006955FF"/>
    <w:rsid w:val="00695ADD"/>
    <w:rsid w:val="00695F2A"/>
    <w:rsid w:val="00696DC4"/>
    <w:rsid w:val="006976D9"/>
    <w:rsid w:val="006A19F3"/>
    <w:rsid w:val="006A2894"/>
    <w:rsid w:val="006A311C"/>
    <w:rsid w:val="006A3BA1"/>
    <w:rsid w:val="006A3EEB"/>
    <w:rsid w:val="006A4407"/>
    <w:rsid w:val="006A5762"/>
    <w:rsid w:val="006A5E4D"/>
    <w:rsid w:val="006A61C1"/>
    <w:rsid w:val="006A651B"/>
    <w:rsid w:val="006A69E1"/>
    <w:rsid w:val="006A7F15"/>
    <w:rsid w:val="006A7F47"/>
    <w:rsid w:val="006B013F"/>
    <w:rsid w:val="006B0795"/>
    <w:rsid w:val="006B2A74"/>
    <w:rsid w:val="006B30CD"/>
    <w:rsid w:val="006B4D68"/>
    <w:rsid w:val="006B6F06"/>
    <w:rsid w:val="006B7FA5"/>
    <w:rsid w:val="006C04FB"/>
    <w:rsid w:val="006C086C"/>
    <w:rsid w:val="006C215D"/>
    <w:rsid w:val="006C241F"/>
    <w:rsid w:val="006C410D"/>
    <w:rsid w:val="006C4430"/>
    <w:rsid w:val="006C4B22"/>
    <w:rsid w:val="006C61E4"/>
    <w:rsid w:val="006C6879"/>
    <w:rsid w:val="006C7EEC"/>
    <w:rsid w:val="006D11F6"/>
    <w:rsid w:val="006D14F9"/>
    <w:rsid w:val="006D22C9"/>
    <w:rsid w:val="006D7503"/>
    <w:rsid w:val="006D7948"/>
    <w:rsid w:val="006E13F5"/>
    <w:rsid w:val="006E1405"/>
    <w:rsid w:val="006E1D57"/>
    <w:rsid w:val="006E2C30"/>
    <w:rsid w:val="006E36CE"/>
    <w:rsid w:val="006E62BB"/>
    <w:rsid w:val="006E69F6"/>
    <w:rsid w:val="006E769A"/>
    <w:rsid w:val="006F086B"/>
    <w:rsid w:val="006F1085"/>
    <w:rsid w:val="006F1AFE"/>
    <w:rsid w:val="006F201F"/>
    <w:rsid w:val="006F3787"/>
    <w:rsid w:val="006F6708"/>
    <w:rsid w:val="006F6ACA"/>
    <w:rsid w:val="0070016B"/>
    <w:rsid w:val="007037B4"/>
    <w:rsid w:val="007037D0"/>
    <w:rsid w:val="007037D1"/>
    <w:rsid w:val="00704781"/>
    <w:rsid w:val="00704960"/>
    <w:rsid w:val="007049C1"/>
    <w:rsid w:val="007052D2"/>
    <w:rsid w:val="007059D2"/>
    <w:rsid w:val="0070739D"/>
    <w:rsid w:val="00707586"/>
    <w:rsid w:val="00712709"/>
    <w:rsid w:val="007138C6"/>
    <w:rsid w:val="007142E1"/>
    <w:rsid w:val="00714CBD"/>
    <w:rsid w:val="007154DF"/>
    <w:rsid w:val="00717212"/>
    <w:rsid w:val="00717C08"/>
    <w:rsid w:val="00720CF2"/>
    <w:rsid w:val="00721E5F"/>
    <w:rsid w:val="00722099"/>
    <w:rsid w:val="007226C8"/>
    <w:rsid w:val="00723ADB"/>
    <w:rsid w:val="00725B48"/>
    <w:rsid w:val="007268B7"/>
    <w:rsid w:val="00727011"/>
    <w:rsid w:val="00730116"/>
    <w:rsid w:val="0073180D"/>
    <w:rsid w:val="00732853"/>
    <w:rsid w:val="00733C90"/>
    <w:rsid w:val="00734B3C"/>
    <w:rsid w:val="00735CD1"/>
    <w:rsid w:val="007409A8"/>
    <w:rsid w:val="007417B2"/>
    <w:rsid w:val="007417EE"/>
    <w:rsid w:val="007419E1"/>
    <w:rsid w:val="00741ADA"/>
    <w:rsid w:val="00742597"/>
    <w:rsid w:val="00742D10"/>
    <w:rsid w:val="00742F85"/>
    <w:rsid w:val="00743AC1"/>
    <w:rsid w:val="00744807"/>
    <w:rsid w:val="0074483B"/>
    <w:rsid w:val="00744851"/>
    <w:rsid w:val="00745BBA"/>
    <w:rsid w:val="00745EB4"/>
    <w:rsid w:val="00751B16"/>
    <w:rsid w:val="00752238"/>
    <w:rsid w:val="007529E6"/>
    <w:rsid w:val="00752C33"/>
    <w:rsid w:val="00752F60"/>
    <w:rsid w:val="00752F7B"/>
    <w:rsid w:val="00753C6A"/>
    <w:rsid w:val="00754F35"/>
    <w:rsid w:val="00756523"/>
    <w:rsid w:val="00756531"/>
    <w:rsid w:val="007568C1"/>
    <w:rsid w:val="00756EC8"/>
    <w:rsid w:val="00757679"/>
    <w:rsid w:val="00760724"/>
    <w:rsid w:val="0076123C"/>
    <w:rsid w:val="00762B04"/>
    <w:rsid w:val="00762D93"/>
    <w:rsid w:val="00763148"/>
    <w:rsid w:val="007705EE"/>
    <w:rsid w:val="00771031"/>
    <w:rsid w:val="00771B1D"/>
    <w:rsid w:val="00771D78"/>
    <w:rsid w:val="007720F9"/>
    <w:rsid w:val="007721A5"/>
    <w:rsid w:val="00772445"/>
    <w:rsid w:val="0077245C"/>
    <w:rsid w:val="0077348C"/>
    <w:rsid w:val="00774FF4"/>
    <w:rsid w:val="00775330"/>
    <w:rsid w:val="00775984"/>
    <w:rsid w:val="007759E4"/>
    <w:rsid w:val="0077693F"/>
    <w:rsid w:val="00777230"/>
    <w:rsid w:val="007776F1"/>
    <w:rsid w:val="00780548"/>
    <w:rsid w:val="00780AF2"/>
    <w:rsid w:val="00781648"/>
    <w:rsid w:val="00781F76"/>
    <w:rsid w:val="0078261A"/>
    <w:rsid w:val="007828E5"/>
    <w:rsid w:val="0078316E"/>
    <w:rsid w:val="00784F01"/>
    <w:rsid w:val="00784F29"/>
    <w:rsid w:val="00785946"/>
    <w:rsid w:val="00786996"/>
    <w:rsid w:val="0079194C"/>
    <w:rsid w:val="00792107"/>
    <w:rsid w:val="0079263B"/>
    <w:rsid w:val="00792644"/>
    <w:rsid w:val="00792A28"/>
    <w:rsid w:val="00795926"/>
    <w:rsid w:val="0079715A"/>
    <w:rsid w:val="007A068C"/>
    <w:rsid w:val="007A224F"/>
    <w:rsid w:val="007A247B"/>
    <w:rsid w:val="007A7C4A"/>
    <w:rsid w:val="007B04D6"/>
    <w:rsid w:val="007B235E"/>
    <w:rsid w:val="007B2565"/>
    <w:rsid w:val="007B30A7"/>
    <w:rsid w:val="007B32B2"/>
    <w:rsid w:val="007B3B08"/>
    <w:rsid w:val="007B4348"/>
    <w:rsid w:val="007B5A51"/>
    <w:rsid w:val="007B5CDB"/>
    <w:rsid w:val="007B716B"/>
    <w:rsid w:val="007B7420"/>
    <w:rsid w:val="007B7A31"/>
    <w:rsid w:val="007C0A88"/>
    <w:rsid w:val="007C1874"/>
    <w:rsid w:val="007C1A97"/>
    <w:rsid w:val="007C3370"/>
    <w:rsid w:val="007C3549"/>
    <w:rsid w:val="007D019B"/>
    <w:rsid w:val="007D2222"/>
    <w:rsid w:val="007D3CBF"/>
    <w:rsid w:val="007D4307"/>
    <w:rsid w:val="007D43F0"/>
    <w:rsid w:val="007D4E44"/>
    <w:rsid w:val="007D5601"/>
    <w:rsid w:val="007D736B"/>
    <w:rsid w:val="007D7D55"/>
    <w:rsid w:val="007E1698"/>
    <w:rsid w:val="007E3BFD"/>
    <w:rsid w:val="007E44F5"/>
    <w:rsid w:val="007E474A"/>
    <w:rsid w:val="007E55A2"/>
    <w:rsid w:val="007E7B0E"/>
    <w:rsid w:val="007E7B6B"/>
    <w:rsid w:val="007F321B"/>
    <w:rsid w:val="007F3302"/>
    <w:rsid w:val="007F4405"/>
    <w:rsid w:val="007F4993"/>
    <w:rsid w:val="007F5B9B"/>
    <w:rsid w:val="007F616F"/>
    <w:rsid w:val="007F6FA4"/>
    <w:rsid w:val="007F788E"/>
    <w:rsid w:val="007F79A0"/>
    <w:rsid w:val="007F7EA9"/>
    <w:rsid w:val="008000E4"/>
    <w:rsid w:val="00800185"/>
    <w:rsid w:val="00800F3E"/>
    <w:rsid w:val="00803141"/>
    <w:rsid w:val="00803B8B"/>
    <w:rsid w:val="008045B6"/>
    <w:rsid w:val="00807602"/>
    <w:rsid w:val="0081098E"/>
    <w:rsid w:val="008123E3"/>
    <w:rsid w:val="0081258E"/>
    <w:rsid w:val="008158B9"/>
    <w:rsid w:val="00816E95"/>
    <w:rsid w:val="008174BE"/>
    <w:rsid w:val="00821B5D"/>
    <w:rsid w:val="00821CCF"/>
    <w:rsid w:val="00821CE3"/>
    <w:rsid w:val="00822580"/>
    <w:rsid w:val="0082365D"/>
    <w:rsid w:val="0082587B"/>
    <w:rsid w:val="00825CB9"/>
    <w:rsid w:val="00825FC4"/>
    <w:rsid w:val="00826890"/>
    <w:rsid w:val="00827701"/>
    <w:rsid w:val="008332EA"/>
    <w:rsid w:val="0083483C"/>
    <w:rsid w:val="008348BD"/>
    <w:rsid w:val="008374C9"/>
    <w:rsid w:val="0084110A"/>
    <w:rsid w:val="0084134F"/>
    <w:rsid w:val="00842055"/>
    <w:rsid w:val="008479ED"/>
    <w:rsid w:val="008502F3"/>
    <w:rsid w:val="00850B15"/>
    <w:rsid w:val="00851256"/>
    <w:rsid w:val="0085143E"/>
    <w:rsid w:val="00852950"/>
    <w:rsid w:val="008536F0"/>
    <w:rsid w:val="00853AC2"/>
    <w:rsid w:val="00853D93"/>
    <w:rsid w:val="0085464D"/>
    <w:rsid w:val="00854902"/>
    <w:rsid w:val="00856580"/>
    <w:rsid w:val="008566B7"/>
    <w:rsid w:val="00856CBC"/>
    <w:rsid w:val="008573DA"/>
    <w:rsid w:val="008602B9"/>
    <w:rsid w:val="00860CA8"/>
    <w:rsid w:val="00860E97"/>
    <w:rsid w:val="008637E7"/>
    <w:rsid w:val="00865EB4"/>
    <w:rsid w:val="00865FF0"/>
    <w:rsid w:val="00866464"/>
    <w:rsid w:val="00866B29"/>
    <w:rsid w:val="00866BFA"/>
    <w:rsid w:val="00867B39"/>
    <w:rsid w:val="008718A3"/>
    <w:rsid w:val="0087196D"/>
    <w:rsid w:val="00872AF9"/>
    <w:rsid w:val="008734C3"/>
    <w:rsid w:val="00875884"/>
    <w:rsid w:val="00877577"/>
    <w:rsid w:val="00877FB8"/>
    <w:rsid w:val="008800E3"/>
    <w:rsid w:val="00880E87"/>
    <w:rsid w:val="00881B4D"/>
    <w:rsid w:val="00882FCA"/>
    <w:rsid w:val="00883486"/>
    <w:rsid w:val="00883E5E"/>
    <w:rsid w:val="00884705"/>
    <w:rsid w:val="00884BE1"/>
    <w:rsid w:val="00884BE4"/>
    <w:rsid w:val="00885850"/>
    <w:rsid w:val="00885F8C"/>
    <w:rsid w:val="008869F1"/>
    <w:rsid w:val="00887292"/>
    <w:rsid w:val="00890571"/>
    <w:rsid w:val="00891092"/>
    <w:rsid w:val="008911C7"/>
    <w:rsid w:val="00891608"/>
    <w:rsid w:val="0089438B"/>
    <w:rsid w:val="0089679C"/>
    <w:rsid w:val="008A3AC8"/>
    <w:rsid w:val="008A3B52"/>
    <w:rsid w:val="008A46D2"/>
    <w:rsid w:val="008A6460"/>
    <w:rsid w:val="008A6522"/>
    <w:rsid w:val="008A76A4"/>
    <w:rsid w:val="008B0742"/>
    <w:rsid w:val="008B239A"/>
    <w:rsid w:val="008B6214"/>
    <w:rsid w:val="008C1925"/>
    <w:rsid w:val="008C32F4"/>
    <w:rsid w:val="008C6D86"/>
    <w:rsid w:val="008D00DF"/>
    <w:rsid w:val="008D0E86"/>
    <w:rsid w:val="008D2A31"/>
    <w:rsid w:val="008D3AF6"/>
    <w:rsid w:val="008D64C3"/>
    <w:rsid w:val="008D7927"/>
    <w:rsid w:val="008E0FFB"/>
    <w:rsid w:val="008E1B79"/>
    <w:rsid w:val="008E275A"/>
    <w:rsid w:val="008E2DD8"/>
    <w:rsid w:val="008E300C"/>
    <w:rsid w:val="008E42CF"/>
    <w:rsid w:val="008E4B50"/>
    <w:rsid w:val="008E70ED"/>
    <w:rsid w:val="008F1D74"/>
    <w:rsid w:val="008F2ABB"/>
    <w:rsid w:val="008F4E5C"/>
    <w:rsid w:val="0090030F"/>
    <w:rsid w:val="00900916"/>
    <w:rsid w:val="00901045"/>
    <w:rsid w:val="009044B5"/>
    <w:rsid w:val="00904837"/>
    <w:rsid w:val="009055D8"/>
    <w:rsid w:val="0090589F"/>
    <w:rsid w:val="00905A60"/>
    <w:rsid w:val="009063B0"/>
    <w:rsid w:val="0090684B"/>
    <w:rsid w:val="00907459"/>
    <w:rsid w:val="00910BAC"/>
    <w:rsid w:val="00911343"/>
    <w:rsid w:val="009120D2"/>
    <w:rsid w:val="009121B0"/>
    <w:rsid w:val="009122ED"/>
    <w:rsid w:val="00912434"/>
    <w:rsid w:val="00912A58"/>
    <w:rsid w:val="009140BB"/>
    <w:rsid w:val="009145A3"/>
    <w:rsid w:val="00914730"/>
    <w:rsid w:val="0091487E"/>
    <w:rsid w:val="009148F4"/>
    <w:rsid w:val="009151AF"/>
    <w:rsid w:val="009156FB"/>
    <w:rsid w:val="00915DAF"/>
    <w:rsid w:val="0091675C"/>
    <w:rsid w:val="009202A0"/>
    <w:rsid w:val="00920C00"/>
    <w:rsid w:val="00922677"/>
    <w:rsid w:val="0092394C"/>
    <w:rsid w:val="00924F35"/>
    <w:rsid w:val="00926436"/>
    <w:rsid w:val="009266D0"/>
    <w:rsid w:val="00926C5E"/>
    <w:rsid w:val="00927587"/>
    <w:rsid w:val="0092778E"/>
    <w:rsid w:val="00927A4C"/>
    <w:rsid w:val="00930E42"/>
    <w:rsid w:val="00931D88"/>
    <w:rsid w:val="00931FFC"/>
    <w:rsid w:val="00932177"/>
    <w:rsid w:val="00932365"/>
    <w:rsid w:val="0093269C"/>
    <w:rsid w:val="00932B0D"/>
    <w:rsid w:val="00933AEB"/>
    <w:rsid w:val="00934F0B"/>
    <w:rsid w:val="00936FDB"/>
    <w:rsid w:val="00937BB4"/>
    <w:rsid w:val="009402CE"/>
    <w:rsid w:val="0094160B"/>
    <w:rsid w:val="0094212F"/>
    <w:rsid w:val="00942E7F"/>
    <w:rsid w:val="00943E54"/>
    <w:rsid w:val="009440F3"/>
    <w:rsid w:val="009445C5"/>
    <w:rsid w:val="00944EBB"/>
    <w:rsid w:val="00945C97"/>
    <w:rsid w:val="00946417"/>
    <w:rsid w:val="00946ECA"/>
    <w:rsid w:val="009471AF"/>
    <w:rsid w:val="0095054D"/>
    <w:rsid w:val="009516C4"/>
    <w:rsid w:val="00952441"/>
    <w:rsid w:val="0095250B"/>
    <w:rsid w:val="00952C1E"/>
    <w:rsid w:val="00952FB0"/>
    <w:rsid w:val="009540A0"/>
    <w:rsid w:val="00954B0A"/>
    <w:rsid w:val="009570D4"/>
    <w:rsid w:val="00960CEE"/>
    <w:rsid w:val="009618AB"/>
    <w:rsid w:val="0096392A"/>
    <w:rsid w:val="00963939"/>
    <w:rsid w:val="00965219"/>
    <w:rsid w:val="00965CCF"/>
    <w:rsid w:val="009703FE"/>
    <w:rsid w:val="00977B54"/>
    <w:rsid w:val="00982227"/>
    <w:rsid w:val="009836FA"/>
    <w:rsid w:val="00984075"/>
    <w:rsid w:val="00984E9D"/>
    <w:rsid w:val="009850FA"/>
    <w:rsid w:val="009852D7"/>
    <w:rsid w:val="00986799"/>
    <w:rsid w:val="00987402"/>
    <w:rsid w:val="00987492"/>
    <w:rsid w:val="00990291"/>
    <w:rsid w:val="00990B1F"/>
    <w:rsid w:val="00990E6C"/>
    <w:rsid w:val="00992573"/>
    <w:rsid w:val="009933E4"/>
    <w:rsid w:val="00993C16"/>
    <w:rsid w:val="009941A9"/>
    <w:rsid w:val="00995227"/>
    <w:rsid w:val="0099582C"/>
    <w:rsid w:val="00996768"/>
    <w:rsid w:val="00997870"/>
    <w:rsid w:val="00997FEF"/>
    <w:rsid w:val="009A2B6B"/>
    <w:rsid w:val="009A4657"/>
    <w:rsid w:val="009A4EFB"/>
    <w:rsid w:val="009A542E"/>
    <w:rsid w:val="009A590D"/>
    <w:rsid w:val="009A764B"/>
    <w:rsid w:val="009B08EC"/>
    <w:rsid w:val="009B12D1"/>
    <w:rsid w:val="009B13A2"/>
    <w:rsid w:val="009B240E"/>
    <w:rsid w:val="009B2AA0"/>
    <w:rsid w:val="009B2FE7"/>
    <w:rsid w:val="009B32D8"/>
    <w:rsid w:val="009B4801"/>
    <w:rsid w:val="009B520B"/>
    <w:rsid w:val="009B6423"/>
    <w:rsid w:val="009C0706"/>
    <w:rsid w:val="009C0DE4"/>
    <w:rsid w:val="009C1BDA"/>
    <w:rsid w:val="009C299A"/>
    <w:rsid w:val="009C2B0D"/>
    <w:rsid w:val="009C33F3"/>
    <w:rsid w:val="009C4651"/>
    <w:rsid w:val="009C7271"/>
    <w:rsid w:val="009C7B91"/>
    <w:rsid w:val="009D0D8A"/>
    <w:rsid w:val="009D1239"/>
    <w:rsid w:val="009D27CE"/>
    <w:rsid w:val="009D500A"/>
    <w:rsid w:val="009D52E6"/>
    <w:rsid w:val="009D5318"/>
    <w:rsid w:val="009D6B02"/>
    <w:rsid w:val="009D7D57"/>
    <w:rsid w:val="009E02F0"/>
    <w:rsid w:val="009E08BD"/>
    <w:rsid w:val="009E20D3"/>
    <w:rsid w:val="009E2EAC"/>
    <w:rsid w:val="009E377E"/>
    <w:rsid w:val="009E4D84"/>
    <w:rsid w:val="009E6BFF"/>
    <w:rsid w:val="009F1511"/>
    <w:rsid w:val="009F30D4"/>
    <w:rsid w:val="009F33E3"/>
    <w:rsid w:val="009F52D8"/>
    <w:rsid w:val="009F700E"/>
    <w:rsid w:val="00A02BBC"/>
    <w:rsid w:val="00A036DB"/>
    <w:rsid w:val="00A03FC8"/>
    <w:rsid w:val="00A03FD2"/>
    <w:rsid w:val="00A06ADE"/>
    <w:rsid w:val="00A06BCD"/>
    <w:rsid w:val="00A0722E"/>
    <w:rsid w:val="00A10B00"/>
    <w:rsid w:val="00A10B7D"/>
    <w:rsid w:val="00A11D22"/>
    <w:rsid w:val="00A12809"/>
    <w:rsid w:val="00A12CB1"/>
    <w:rsid w:val="00A141D0"/>
    <w:rsid w:val="00A143B0"/>
    <w:rsid w:val="00A16C09"/>
    <w:rsid w:val="00A16C18"/>
    <w:rsid w:val="00A17421"/>
    <w:rsid w:val="00A1759D"/>
    <w:rsid w:val="00A2086B"/>
    <w:rsid w:val="00A22562"/>
    <w:rsid w:val="00A22F6F"/>
    <w:rsid w:val="00A233E2"/>
    <w:rsid w:val="00A24C24"/>
    <w:rsid w:val="00A30682"/>
    <w:rsid w:val="00A30C50"/>
    <w:rsid w:val="00A318A9"/>
    <w:rsid w:val="00A3195F"/>
    <w:rsid w:val="00A32101"/>
    <w:rsid w:val="00A32FA3"/>
    <w:rsid w:val="00A334DC"/>
    <w:rsid w:val="00A3414C"/>
    <w:rsid w:val="00A34568"/>
    <w:rsid w:val="00A41074"/>
    <w:rsid w:val="00A4118E"/>
    <w:rsid w:val="00A41B2F"/>
    <w:rsid w:val="00A43A4A"/>
    <w:rsid w:val="00A450AC"/>
    <w:rsid w:val="00A51706"/>
    <w:rsid w:val="00A55243"/>
    <w:rsid w:val="00A55FE4"/>
    <w:rsid w:val="00A56C4D"/>
    <w:rsid w:val="00A57DEE"/>
    <w:rsid w:val="00A60152"/>
    <w:rsid w:val="00A6174E"/>
    <w:rsid w:val="00A62BCA"/>
    <w:rsid w:val="00A6419F"/>
    <w:rsid w:val="00A644C6"/>
    <w:rsid w:val="00A664AC"/>
    <w:rsid w:val="00A66F6A"/>
    <w:rsid w:val="00A6737D"/>
    <w:rsid w:val="00A70242"/>
    <w:rsid w:val="00A71025"/>
    <w:rsid w:val="00A716F3"/>
    <w:rsid w:val="00A71A67"/>
    <w:rsid w:val="00A7227B"/>
    <w:rsid w:val="00A72AC2"/>
    <w:rsid w:val="00A72C70"/>
    <w:rsid w:val="00A735D3"/>
    <w:rsid w:val="00A73BD2"/>
    <w:rsid w:val="00A73E84"/>
    <w:rsid w:val="00A7460B"/>
    <w:rsid w:val="00A7543A"/>
    <w:rsid w:val="00A75975"/>
    <w:rsid w:val="00A77206"/>
    <w:rsid w:val="00A806E5"/>
    <w:rsid w:val="00A8144C"/>
    <w:rsid w:val="00A81C51"/>
    <w:rsid w:val="00A82D5C"/>
    <w:rsid w:val="00A8358C"/>
    <w:rsid w:val="00A8601E"/>
    <w:rsid w:val="00A86A93"/>
    <w:rsid w:val="00A86F29"/>
    <w:rsid w:val="00A903A3"/>
    <w:rsid w:val="00A90E7C"/>
    <w:rsid w:val="00A91A6F"/>
    <w:rsid w:val="00A91DE5"/>
    <w:rsid w:val="00A9515F"/>
    <w:rsid w:val="00A97B29"/>
    <w:rsid w:val="00A97D56"/>
    <w:rsid w:val="00AA52BC"/>
    <w:rsid w:val="00AA5718"/>
    <w:rsid w:val="00AA61CD"/>
    <w:rsid w:val="00AA6326"/>
    <w:rsid w:val="00AA6F9F"/>
    <w:rsid w:val="00AA77EF"/>
    <w:rsid w:val="00AA7C04"/>
    <w:rsid w:val="00AA7E64"/>
    <w:rsid w:val="00AB142F"/>
    <w:rsid w:val="00AB1495"/>
    <w:rsid w:val="00AB1511"/>
    <w:rsid w:val="00AB17B1"/>
    <w:rsid w:val="00AB23AF"/>
    <w:rsid w:val="00AB2663"/>
    <w:rsid w:val="00AB2AB2"/>
    <w:rsid w:val="00AB2B85"/>
    <w:rsid w:val="00AB3DB9"/>
    <w:rsid w:val="00AB4388"/>
    <w:rsid w:val="00AB4537"/>
    <w:rsid w:val="00AB66BF"/>
    <w:rsid w:val="00AB71CA"/>
    <w:rsid w:val="00AC03D4"/>
    <w:rsid w:val="00AC0F64"/>
    <w:rsid w:val="00AC246A"/>
    <w:rsid w:val="00AC27B9"/>
    <w:rsid w:val="00AC36C4"/>
    <w:rsid w:val="00AC386B"/>
    <w:rsid w:val="00AC3CC7"/>
    <w:rsid w:val="00AC501B"/>
    <w:rsid w:val="00AD009A"/>
    <w:rsid w:val="00AD134C"/>
    <w:rsid w:val="00AD1D89"/>
    <w:rsid w:val="00AD2330"/>
    <w:rsid w:val="00AD3886"/>
    <w:rsid w:val="00AD39F6"/>
    <w:rsid w:val="00AD4B7C"/>
    <w:rsid w:val="00AD5406"/>
    <w:rsid w:val="00AD6C65"/>
    <w:rsid w:val="00AD70EB"/>
    <w:rsid w:val="00AD7107"/>
    <w:rsid w:val="00AD7910"/>
    <w:rsid w:val="00AE0C41"/>
    <w:rsid w:val="00AE14C9"/>
    <w:rsid w:val="00AE1BAD"/>
    <w:rsid w:val="00AE25F8"/>
    <w:rsid w:val="00AE2ED8"/>
    <w:rsid w:val="00AE3069"/>
    <w:rsid w:val="00AE3362"/>
    <w:rsid w:val="00AE55CE"/>
    <w:rsid w:val="00AE7076"/>
    <w:rsid w:val="00AF0545"/>
    <w:rsid w:val="00AF09BC"/>
    <w:rsid w:val="00AF1FBA"/>
    <w:rsid w:val="00AF2061"/>
    <w:rsid w:val="00AF3950"/>
    <w:rsid w:val="00AF6EC3"/>
    <w:rsid w:val="00AF79A5"/>
    <w:rsid w:val="00B00FE0"/>
    <w:rsid w:val="00B02543"/>
    <w:rsid w:val="00B03C30"/>
    <w:rsid w:val="00B04107"/>
    <w:rsid w:val="00B0582E"/>
    <w:rsid w:val="00B05D44"/>
    <w:rsid w:val="00B068CB"/>
    <w:rsid w:val="00B1173F"/>
    <w:rsid w:val="00B11E31"/>
    <w:rsid w:val="00B12A38"/>
    <w:rsid w:val="00B12CDA"/>
    <w:rsid w:val="00B1305F"/>
    <w:rsid w:val="00B1370F"/>
    <w:rsid w:val="00B13760"/>
    <w:rsid w:val="00B13F6D"/>
    <w:rsid w:val="00B141FE"/>
    <w:rsid w:val="00B15E30"/>
    <w:rsid w:val="00B15ECF"/>
    <w:rsid w:val="00B211BA"/>
    <w:rsid w:val="00B21568"/>
    <w:rsid w:val="00B2222C"/>
    <w:rsid w:val="00B22A24"/>
    <w:rsid w:val="00B23679"/>
    <w:rsid w:val="00B26322"/>
    <w:rsid w:val="00B27C4F"/>
    <w:rsid w:val="00B3281C"/>
    <w:rsid w:val="00B3299F"/>
    <w:rsid w:val="00B34777"/>
    <w:rsid w:val="00B35252"/>
    <w:rsid w:val="00B35863"/>
    <w:rsid w:val="00B35FED"/>
    <w:rsid w:val="00B369FB"/>
    <w:rsid w:val="00B37182"/>
    <w:rsid w:val="00B3777B"/>
    <w:rsid w:val="00B37C09"/>
    <w:rsid w:val="00B4054B"/>
    <w:rsid w:val="00B41157"/>
    <w:rsid w:val="00B42BA3"/>
    <w:rsid w:val="00B43626"/>
    <w:rsid w:val="00B4370E"/>
    <w:rsid w:val="00B46533"/>
    <w:rsid w:val="00B4780E"/>
    <w:rsid w:val="00B47BF8"/>
    <w:rsid w:val="00B52830"/>
    <w:rsid w:val="00B52DFE"/>
    <w:rsid w:val="00B53511"/>
    <w:rsid w:val="00B53EC5"/>
    <w:rsid w:val="00B54AF9"/>
    <w:rsid w:val="00B56682"/>
    <w:rsid w:val="00B57239"/>
    <w:rsid w:val="00B57DCE"/>
    <w:rsid w:val="00B57FE1"/>
    <w:rsid w:val="00B6088A"/>
    <w:rsid w:val="00B618C8"/>
    <w:rsid w:val="00B64D46"/>
    <w:rsid w:val="00B6546C"/>
    <w:rsid w:val="00B669BD"/>
    <w:rsid w:val="00B67436"/>
    <w:rsid w:val="00B717A9"/>
    <w:rsid w:val="00B72E1C"/>
    <w:rsid w:val="00B73559"/>
    <w:rsid w:val="00B74D8B"/>
    <w:rsid w:val="00B75C35"/>
    <w:rsid w:val="00B76328"/>
    <w:rsid w:val="00B77CCD"/>
    <w:rsid w:val="00B81B02"/>
    <w:rsid w:val="00B81F0F"/>
    <w:rsid w:val="00B82B73"/>
    <w:rsid w:val="00B83216"/>
    <w:rsid w:val="00B8572F"/>
    <w:rsid w:val="00B85D50"/>
    <w:rsid w:val="00B86122"/>
    <w:rsid w:val="00B9102D"/>
    <w:rsid w:val="00B91576"/>
    <w:rsid w:val="00B919E7"/>
    <w:rsid w:val="00B91C4A"/>
    <w:rsid w:val="00B926A6"/>
    <w:rsid w:val="00B929BA"/>
    <w:rsid w:val="00B929CF"/>
    <w:rsid w:val="00B93A87"/>
    <w:rsid w:val="00B94EFA"/>
    <w:rsid w:val="00B9559A"/>
    <w:rsid w:val="00B9655C"/>
    <w:rsid w:val="00B973B7"/>
    <w:rsid w:val="00B977BC"/>
    <w:rsid w:val="00BA09E0"/>
    <w:rsid w:val="00BA0ECB"/>
    <w:rsid w:val="00BA25EE"/>
    <w:rsid w:val="00BA41EA"/>
    <w:rsid w:val="00BA4AB3"/>
    <w:rsid w:val="00BA68DA"/>
    <w:rsid w:val="00BA7A3E"/>
    <w:rsid w:val="00BB086C"/>
    <w:rsid w:val="00BB3194"/>
    <w:rsid w:val="00BB331C"/>
    <w:rsid w:val="00BB4BA7"/>
    <w:rsid w:val="00BB574D"/>
    <w:rsid w:val="00BB614D"/>
    <w:rsid w:val="00BB7F33"/>
    <w:rsid w:val="00BC2B0B"/>
    <w:rsid w:val="00BC2BDD"/>
    <w:rsid w:val="00BC374F"/>
    <w:rsid w:val="00BC3CAA"/>
    <w:rsid w:val="00BC4943"/>
    <w:rsid w:val="00BC53AA"/>
    <w:rsid w:val="00BD03A2"/>
    <w:rsid w:val="00BD1091"/>
    <w:rsid w:val="00BD1BD6"/>
    <w:rsid w:val="00BD20BD"/>
    <w:rsid w:val="00BD2627"/>
    <w:rsid w:val="00BD31EF"/>
    <w:rsid w:val="00BD610F"/>
    <w:rsid w:val="00BD61EC"/>
    <w:rsid w:val="00BD62B4"/>
    <w:rsid w:val="00BD6FBD"/>
    <w:rsid w:val="00BD72C5"/>
    <w:rsid w:val="00BE03F7"/>
    <w:rsid w:val="00BE2380"/>
    <w:rsid w:val="00BE2DFA"/>
    <w:rsid w:val="00BE526D"/>
    <w:rsid w:val="00BE5784"/>
    <w:rsid w:val="00BE5A72"/>
    <w:rsid w:val="00BE5FCF"/>
    <w:rsid w:val="00BE6E5F"/>
    <w:rsid w:val="00BE750C"/>
    <w:rsid w:val="00BE75B6"/>
    <w:rsid w:val="00BE7661"/>
    <w:rsid w:val="00BF0446"/>
    <w:rsid w:val="00BF1EA2"/>
    <w:rsid w:val="00BF5816"/>
    <w:rsid w:val="00BF5F62"/>
    <w:rsid w:val="00BF6A2C"/>
    <w:rsid w:val="00BF6A64"/>
    <w:rsid w:val="00C00CE3"/>
    <w:rsid w:val="00C02334"/>
    <w:rsid w:val="00C02DAD"/>
    <w:rsid w:val="00C042C2"/>
    <w:rsid w:val="00C06CA6"/>
    <w:rsid w:val="00C10963"/>
    <w:rsid w:val="00C122CD"/>
    <w:rsid w:val="00C13972"/>
    <w:rsid w:val="00C154C3"/>
    <w:rsid w:val="00C15549"/>
    <w:rsid w:val="00C15ACA"/>
    <w:rsid w:val="00C16AC6"/>
    <w:rsid w:val="00C2012F"/>
    <w:rsid w:val="00C22FC2"/>
    <w:rsid w:val="00C23392"/>
    <w:rsid w:val="00C238EA"/>
    <w:rsid w:val="00C24FB1"/>
    <w:rsid w:val="00C25048"/>
    <w:rsid w:val="00C25F97"/>
    <w:rsid w:val="00C2600E"/>
    <w:rsid w:val="00C2635D"/>
    <w:rsid w:val="00C2671A"/>
    <w:rsid w:val="00C26E4D"/>
    <w:rsid w:val="00C30BD1"/>
    <w:rsid w:val="00C3169F"/>
    <w:rsid w:val="00C3213B"/>
    <w:rsid w:val="00C33661"/>
    <w:rsid w:val="00C34964"/>
    <w:rsid w:val="00C34EFB"/>
    <w:rsid w:val="00C3506D"/>
    <w:rsid w:val="00C351DA"/>
    <w:rsid w:val="00C35428"/>
    <w:rsid w:val="00C36898"/>
    <w:rsid w:val="00C37944"/>
    <w:rsid w:val="00C4031D"/>
    <w:rsid w:val="00C40338"/>
    <w:rsid w:val="00C41C7C"/>
    <w:rsid w:val="00C41CBD"/>
    <w:rsid w:val="00C42FE1"/>
    <w:rsid w:val="00C455DD"/>
    <w:rsid w:val="00C47533"/>
    <w:rsid w:val="00C47EAC"/>
    <w:rsid w:val="00C50CBC"/>
    <w:rsid w:val="00C51566"/>
    <w:rsid w:val="00C5208A"/>
    <w:rsid w:val="00C52607"/>
    <w:rsid w:val="00C54A34"/>
    <w:rsid w:val="00C54BD6"/>
    <w:rsid w:val="00C55076"/>
    <w:rsid w:val="00C566CF"/>
    <w:rsid w:val="00C57FB9"/>
    <w:rsid w:val="00C6090E"/>
    <w:rsid w:val="00C62B62"/>
    <w:rsid w:val="00C65372"/>
    <w:rsid w:val="00C670BE"/>
    <w:rsid w:val="00C67792"/>
    <w:rsid w:val="00C67A3F"/>
    <w:rsid w:val="00C7085A"/>
    <w:rsid w:val="00C70CCB"/>
    <w:rsid w:val="00C71599"/>
    <w:rsid w:val="00C716BF"/>
    <w:rsid w:val="00C7247C"/>
    <w:rsid w:val="00C72582"/>
    <w:rsid w:val="00C72F99"/>
    <w:rsid w:val="00C735CE"/>
    <w:rsid w:val="00C770A5"/>
    <w:rsid w:val="00C77AF6"/>
    <w:rsid w:val="00C77FD3"/>
    <w:rsid w:val="00C82481"/>
    <w:rsid w:val="00C830E0"/>
    <w:rsid w:val="00C836CE"/>
    <w:rsid w:val="00C847CE"/>
    <w:rsid w:val="00C84CFD"/>
    <w:rsid w:val="00C8526F"/>
    <w:rsid w:val="00C85B3A"/>
    <w:rsid w:val="00C87BB2"/>
    <w:rsid w:val="00C87DEB"/>
    <w:rsid w:val="00C9036C"/>
    <w:rsid w:val="00C91EAF"/>
    <w:rsid w:val="00C95D4E"/>
    <w:rsid w:val="00C979AF"/>
    <w:rsid w:val="00CA421B"/>
    <w:rsid w:val="00CA7A5C"/>
    <w:rsid w:val="00CA7BAD"/>
    <w:rsid w:val="00CB1C72"/>
    <w:rsid w:val="00CB1D18"/>
    <w:rsid w:val="00CB2461"/>
    <w:rsid w:val="00CB4656"/>
    <w:rsid w:val="00CB4EEB"/>
    <w:rsid w:val="00CB576E"/>
    <w:rsid w:val="00CB6FF2"/>
    <w:rsid w:val="00CC0677"/>
    <w:rsid w:val="00CC1BD8"/>
    <w:rsid w:val="00CC1DFF"/>
    <w:rsid w:val="00CC27F5"/>
    <w:rsid w:val="00CC3E6E"/>
    <w:rsid w:val="00CC530E"/>
    <w:rsid w:val="00CC657F"/>
    <w:rsid w:val="00CC686A"/>
    <w:rsid w:val="00CC7734"/>
    <w:rsid w:val="00CC7B96"/>
    <w:rsid w:val="00CC7D85"/>
    <w:rsid w:val="00CC7EF2"/>
    <w:rsid w:val="00CD09E1"/>
    <w:rsid w:val="00CD1537"/>
    <w:rsid w:val="00CD62DF"/>
    <w:rsid w:val="00CD65DA"/>
    <w:rsid w:val="00CD73C4"/>
    <w:rsid w:val="00CD7562"/>
    <w:rsid w:val="00CE0030"/>
    <w:rsid w:val="00CE05B9"/>
    <w:rsid w:val="00CE06F5"/>
    <w:rsid w:val="00CE09C5"/>
    <w:rsid w:val="00CE2AE5"/>
    <w:rsid w:val="00CE4834"/>
    <w:rsid w:val="00CE6BBE"/>
    <w:rsid w:val="00CF299E"/>
    <w:rsid w:val="00CF4891"/>
    <w:rsid w:val="00CF499F"/>
    <w:rsid w:val="00CF5EE3"/>
    <w:rsid w:val="00CF65FD"/>
    <w:rsid w:val="00CF7171"/>
    <w:rsid w:val="00D00EFD"/>
    <w:rsid w:val="00D02CB8"/>
    <w:rsid w:val="00D04405"/>
    <w:rsid w:val="00D0731D"/>
    <w:rsid w:val="00D07D44"/>
    <w:rsid w:val="00D11438"/>
    <w:rsid w:val="00D117DD"/>
    <w:rsid w:val="00D1268B"/>
    <w:rsid w:val="00D132B6"/>
    <w:rsid w:val="00D137F1"/>
    <w:rsid w:val="00D13AA3"/>
    <w:rsid w:val="00D153C4"/>
    <w:rsid w:val="00D15ABD"/>
    <w:rsid w:val="00D16331"/>
    <w:rsid w:val="00D166B2"/>
    <w:rsid w:val="00D1731E"/>
    <w:rsid w:val="00D1751A"/>
    <w:rsid w:val="00D20160"/>
    <w:rsid w:val="00D204CD"/>
    <w:rsid w:val="00D23B06"/>
    <w:rsid w:val="00D2519C"/>
    <w:rsid w:val="00D2607B"/>
    <w:rsid w:val="00D279F6"/>
    <w:rsid w:val="00D30C29"/>
    <w:rsid w:val="00D31E99"/>
    <w:rsid w:val="00D32644"/>
    <w:rsid w:val="00D35747"/>
    <w:rsid w:val="00D41122"/>
    <w:rsid w:val="00D416D9"/>
    <w:rsid w:val="00D42407"/>
    <w:rsid w:val="00D46695"/>
    <w:rsid w:val="00D4678D"/>
    <w:rsid w:val="00D47567"/>
    <w:rsid w:val="00D52A91"/>
    <w:rsid w:val="00D53686"/>
    <w:rsid w:val="00D543C1"/>
    <w:rsid w:val="00D55F92"/>
    <w:rsid w:val="00D56348"/>
    <w:rsid w:val="00D60110"/>
    <w:rsid w:val="00D627C6"/>
    <w:rsid w:val="00D62B44"/>
    <w:rsid w:val="00D65636"/>
    <w:rsid w:val="00D67AC5"/>
    <w:rsid w:val="00D70052"/>
    <w:rsid w:val="00D71B31"/>
    <w:rsid w:val="00D71BA6"/>
    <w:rsid w:val="00D72A68"/>
    <w:rsid w:val="00D73873"/>
    <w:rsid w:val="00D740D8"/>
    <w:rsid w:val="00D743D5"/>
    <w:rsid w:val="00D75197"/>
    <w:rsid w:val="00D75356"/>
    <w:rsid w:val="00D75A0D"/>
    <w:rsid w:val="00D76BBF"/>
    <w:rsid w:val="00D77E6C"/>
    <w:rsid w:val="00D80049"/>
    <w:rsid w:val="00D809FA"/>
    <w:rsid w:val="00D80DA1"/>
    <w:rsid w:val="00D8200E"/>
    <w:rsid w:val="00D82E95"/>
    <w:rsid w:val="00D8438D"/>
    <w:rsid w:val="00D8449D"/>
    <w:rsid w:val="00D8496F"/>
    <w:rsid w:val="00D84D2D"/>
    <w:rsid w:val="00D84DDD"/>
    <w:rsid w:val="00D86263"/>
    <w:rsid w:val="00D864DE"/>
    <w:rsid w:val="00D865DB"/>
    <w:rsid w:val="00D904D5"/>
    <w:rsid w:val="00D90BFE"/>
    <w:rsid w:val="00D90CD6"/>
    <w:rsid w:val="00D91000"/>
    <w:rsid w:val="00D91D92"/>
    <w:rsid w:val="00D935B8"/>
    <w:rsid w:val="00D941F0"/>
    <w:rsid w:val="00D954A2"/>
    <w:rsid w:val="00D968C3"/>
    <w:rsid w:val="00D97CED"/>
    <w:rsid w:val="00DA00BE"/>
    <w:rsid w:val="00DA0186"/>
    <w:rsid w:val="00DA02EA"/>
    <w:rsid w:val="00DA0E7D"/>
    <w:rsid w:val="00DA4881"/>
    <w:rsid w:val="00DA49E7"/>
    <w:rsid w:val="00DA6561"/>
    <w:rsid w:val="00DA7277"/>
    <w:rsid w:val="00DA72DC"/>
    <w:rsid w:val="00DA73D7"/>
    <w:rsid w:val="00DB04CE"/>
    <w:rsid w:val="00DB2196"/>
    <w:rsid w:val="00DB3043"/>
    <w:rsid w:val="00DB32A6"/>
    <w:rsid w:val="00DB3F3F"/>
    <w:rsid w:val="00DB473D"/>
    <w:rsid w:val="00DC243E"/>
    <w:rsid w:val="00DC3768"/>
    <w:rsid w:val="00DC4185"/>
    <w:rsid w:val="00DC47C9"/>
    <w:rsid w:val="00DC6F8B"/>
    <w:rsid w:val="00DD0350"/>
    <w:rsid w:val="00DD043B"/>
    <w:rsid w:val="00DD20F1"/>
    <w:rsid w:val="00DD2670"/>
    <w:rsid w:val="00DD27D6"/>
    <w:rsid w:val="00DD2E83"/>
    <w:rsid w:val="00DD42BB"/>
    <w:rsid w:val="00DD442F"/>
    <w:rsid w:val="00DD4875"/>
    <w:rsid w:val="00DD48AE"/>
    <w:rsid w:val="00DD7240"/>
    <w:rsid w:val="00DD7999"/>
    <w:rsid w:val="00DD7BEE"/>
    <w:rsid w:val="00DD7E55"/>
    <w:rsid w:val="00DE0FFA"/>
    <w:rsid w:val="00DE1B4A"/>
    <w:rsid w:val="00DE55B2"/>
    <w:rsid w:val="00DE588E"/>
    <w:rsid w:val="00DE7732"/>
    <w:rsid w:val="00DF020A"/>
    <w:rsid w:val="00DF0E6B"/>
    <w:rsid w:val="00DF13B1"/>
    <w:rsid w:val="00DF45E4"/>
    <w:rsid w:val="00DF5F25"/>
    <w:rsid w:val="00E0320A"/>
    <w:rsid w:val="00E04146"/>
    <w:rsid w:val="00E04870"/>
    <w:rsid w:val="00E058E2"/>
    <w:rsid w:val="00E05E44"/>
    <w:rsid w:val="00E062D1"/>
    <w:rsid w:val="00E064C4"/>
    <w:rsid w:val="00E10814"/>
    <w:rsid w:val="00E10CA9"/>
    <w:rsid w:val="00E1152B"/>
    <w:rsid w:val="00E11CB1"/>
    <w:rsid w:val="00E1201F"/>
    <w:rsid w:val="00E12202"/>
    <w:rsid w:val="00E12B11"/>
    <w:rsid w:val="00E148D7"/>
    <w:rsid w:val="00E159D7"/>
    <w:rsid w:val="00E1605F"/>
    <w:rsid w:val="00E16141"/>
    <w:rsid w:val="00E174C3"/>
    <w:rsid w:val="00E17C34"/>
    <w:rsid w:val="00E211F4"/>
    <w:rsid w:val="00E22A9E"/>
    <w:rsid w:val="00E23051"/>
    <w:rsid w:val="00E24650"/>
    <w:rsid w:val="00E25A7A"/>
    <w:rsid w:val="00E26A62"/>
    <w:rsid w:val="00E30EA1"/>
    <w:rsid w:val="00E3153B"/>
    <w:rsid w:val="00E3241E"/>
    <w:rsid w:val="00E33474"/>
    <w:rsid w:val="00E3529B"/>
    <w:rsid w:val="00E36ED3"/>
    <w:rsid w:val="00E40C89"/>
    <w:rsid w:val="00E40D1E"/>
    <w:rsid w:val="00E4170A"/>
    <w:rsid w:val="00E50F12"/>
    <w:rsid w:val="00E5129E"/>
    <w:rsid w:val="00E5160B"/>
    <w:rsid w:val="00E51630"/>
    <w:rsid w:val="00E53E97"/>
    <w:rsid w:val="00E53EDE"/>
    <w:rsid w:val="00E53EF9"/>
    <w:rsid w:val="00E57EE8"/>
    <w:rsid w:val="00E6074A"/>
    <w:rsid w:val="00E6130C"/>
    <w:rsid w:val="00E621B2"/>
    <w:rsid w:val="00E63CEE"/>
    <w:rsid w:val="00E63E80"/>
    <w:rsid w:val="00E6405B"/>
    <w:rsid w:val="00E65BCC"/>
    <w:rsid w:val="00E67B73"/>
    <w:rsid w:val="00E70869"/>
    <w:rsid w:val="00E713F4"/>
    <w:rsid w:val="00E71C4D"/>
    <w:rsid w:val="00E72F06"/>
    <w:rsid w:val="00E74B0A"/>
    <w:rsid w:val="00E74E7D"/>
    <w:rsid w:val="00E76C47"/>
    <w:rsid w:val="00E7749C"/>
    <w:rsid w:val="00E803F6"/>
    <w:rsid w:val="00E81B2E"/>
    <w:rsid w:val="00E8394E"/>
    <w:rsid w:val="00E84FD4"/>
    <w:rsid w:val="00E86B58"/>
    <w:rsid w:val="00E9037F"/>
    <w:rsid w:val="00E924CB"/>
    <w:rsid w:val="00E941D4"/>
    <w:rsid w:val="00E94CF7"/>
    <w:rsid w:val="00E9781F"/>
    <w:rsid w:val="00E97EBE"/>
    <w:rsid w:val="00EA0ABF"/>
    <w:rsid w:val="00EA14B8"/>
    <w:rsid w:val="00EA15FD"/>
    <w:rsid w:val="00EA41A4"/>
    <w:rsid w:val="00EA48B7"/>
    <w:rsid w:val="00EA6958"/>
    <w:rsid w:val="00EA6A93"/>
    <w:rsid w:val="00EB024F"/>
    <w:rsid w:val="00EB1EFC"/>
    <w:rsid w:val="00EB2B3B"/>
    <w:rsid w:val="00EB41EF"/>
    <w:rsid w:val="00EB4527"/>
    <w:rsid w:val="00EB58B0"/>
    <w:rsid w:val="00EB77AE"/>
    <w:rsid w:val="00EB7F67"/>
    <w:rsid w:val="00EC14C9"/>
    <w:rsid w:val="00EC4AC3"/>
    <w:rsid w:val="00EC56E5"/>
    <w:rsid w:val="00EC6E72"/>
    <w:rsid w:val="00ED0442"/>
    <w:rsid w:val="00ED353E"/>
    <w:rsid w:val="00ED54F9"/>
    <w:rsid w:val="00ED7E05"/>
    <w:rsid w:val="00ED7E76"/>
    <w:rsid w:val="00EE0519"/>
    <w:rsid w:val="00EE1C50"/>
    <w:rsid w:val="00EE2E50"/>
    <w:rsid w:val="00EE3B08"/>
    <w:rsid w:val="00EE692C"/>
    <w:rsid w:val="00EF0018"/>
    <w:rsid w:val="00EF18E9"/>
    <w:rsid w:val="00EF3444"/>
    <w:rsid w:val="00EF4B1B"/>
    <w:rsid w:val="00EF5384"/>
    <w:rsid w:val="00EF56E3"/>
    <w:rsid w:val="00EF5D0F"/>
    <w:rsid w:val="00EF5E76"/>
    <w:rsid w:val="00EF6DA5"/>
    <w:rsid w:val="00EF7D6A"/>
    <w:rsid w:val="00F02B81"/>
    <w:rsid w:val="00F03CDF"/>
    <w:rsid w:val="00F04F8B"/>
    <w:rsid w:val="00F06F8F"/>
    <w:rsid w:val="00F10B76"/>
    <w:rsid w:val="00F11113"/>
    <w:rsid w:val="00F1222A"/>
    <w:rsid w:val="00F12377"/>
    <w:rsid w:val="00F13FB8"/>
    <w:rsid w:val="00F14098"/>
    <w:rsid w:val="00F143D2"/>
    <w:rsid w:val="00F1712B"/>
    <w:rsid w:val="00F17D7C"/>
    <w:rsid w:val="00F207A5"/>
    <w:rsid w:val="00F21489"/>
    <w:rsid w:val="00F21DFD"/>
    <w:rsid w:val="00F22693"/>
    <w:rsid w:val="00F22ECC"/>
    <w:rsid w:val="00F26CD8"/>
    <w:rsid w:val="00F350F0"/>
    <w:rsid w:val="00F35414"/>
    <w:rsid w:val="00F411A0"/>
    <w:rsid w:val="00F4214C"/>
    <w:rsid w:val="00F42276"/>
    <w:rsid w:val="00F44513"/>
    <w:rsid w:val="00F457AA"/>
    <w:rsid w:val="00F46D30"/>
    <w:rsid w:val="00F473E9"/>
    <w:rsid w:val="00F47977"/>
    <w:rsid w:val="00F47F01"/>
    <w:rsid w:val="00F50344"/>
    <w:rsid w:val="00F51CA6"/>
    <w:rsid w:val="00F551F5"/>
    <w:rsid w:val="00F5579E"/>
    <w:rsid w:val="00F55835"/>
    <w:rsid w:val="00F56F99"/>
    <w:rsid w:val="00F62A9D"/>
    <w:rsid w:val="00F64296"/>
    <w:rsid w:val="00F649C5"/>
    <w:rsid w:val="00F649DC"/>
    <w:rsid w:val="00F66F65"/>
    <w:rsid w:val="00F71A94"/>
    <w:rsid w:val="00F72036"/>
    <w:rsid w:val="00F72183"/>
    <w:rsid w:val="00F7253D"/>
    <w:rsid w:val="00F72EA1"/>
    <w:rsid w:val="00F740AD"/>
    <w:rsid w:val="00F751D4"/>
    <w:rsid w:val="00F75DB9"/>
    <w:rsid w:val="00F80DB0"/>
    <w:rsid w:val="00F810B2"/>
    <w:rsid w:val="00F83DAA"/>
    <w:rsid w:val="00F8565C"/>
    <w:rsid w:val="00F8577B"/>
    <w:rsid w:val="00F85FD5"/>
    <w:rsid w:val="00F86062"/>
    <w:rsid w:val="00F865C8"/>
    <w:rsid w:val="00F868F7"/>
    <w:rsid w:val="00F91441"/>
    <w:rsid w:val="00F9176C"/>
    <w:rsid w:val="00F917D6"/>
    <w:rsid w:val="00F91C6F"/>
    <w:rsid w:val="00F91CD3"/>
    <w:rsid w:val="00F92A7A"/>
    <w:rsid w:val="00F930CA"/>
    <w:rsid w:val="00F93464"/>
    <w:rsid w:val="00F93616"/>
    <w:rsid w:val="00F95CAC"/>
    <w:rsid w:val="00F97A9F"/>
    <w:rsid w:val="00F97BE2"/>
    <w:rsid w:val="00FA0059"/>
    <w:rsid w:val="00FA007F"/>
    <w:rsid w:val="00FA323C"/>
    <w:rsid w:val="00FA4EFA"/>
    <w:rsid w:val="00FA5709"/>
    <w:rsid w:val="00FA6608"/>
    <w:rsid w:val="00FA7181"/>
    <w:rsid w:val="00FA730B"/>
    <w:rsid w:val="00FA7F8F"/>
    <w:rsid w:val="00FB0DBE"/>
    <w:rsid w:val="00FB1AC4"/>
    <w:rsid w:val="00FB293D"/>
    <w:rsid w:val="00FB3267"/>
    <w:rsid w:val="00FB38AA"/>
    <w:rsid w:val="00FB3AD5"/>
    <w:rsid w:val="00FB45D4"/>
    <w:rsid w:val="00FB4AB8"/>
    <w:rsid w:val="00FB52EB"/>
    <w:rsid w:val="00FB634A"/>
    <w:rsid w:val="00FB70A3"/>
    <w:rsid w:val="00FB7E11"/>
    <w:rsid w:val="00FC1BAA"/>
    <w:rsid w:val="00FC2F94"/>
    <w:rsid w:val="00FC3682"/>
    <w:rsid w:val="00FC37B4"/>
    <w:rsid w:val="00FC3CFD"/>
    <w:rsid w:val="00FC6C06"/>
    <w:rsid w:val="00FD02FD"/>
    <w:rsid w:val="00FD0510"/>
    <w:rsid w:val="00FD0778"/>
    <w:rsid w:val="00FD0A91"/>
    <w:rsid w:val="00FD1B62"/>
    <w:rsid w:val="00FD22A6"/>
    <w:rsid w:val="00FD2AA8"/>
    <w:rsid w:val="00FD2DA4"/>
    <w:rsid w:val="00FD3B31"/>
    <w:rsid w:val="00FD4713"/>
    <w:rsid w:val="00FD5393"/>
    <w:rsid w:val="00FD5D75"/>
    <w:rsid w:val="00FD70D5"/>
    <w:rsid w:val="00FD70E4"/>
    <w:rsid w:val="00FE1407"/>
    <w:rsid w:val="00FE165B"/>
    <w:rsid w:val="00FE2F03"/>
    <w:rsid w:val="00FE3146"/>
    <w:rsid w:val="00FE46A7"/>
    <w:rsid w:val="00FE5C2D"/>
    <w:rsid w:val="00FE6C34"/>
    <w:rsid w:val="00FE78FD"/>
    <w:rsid w:val="00FF263D"/>
    <w:rsid w:val="00FF2D1D"/>
    <w:rsid w:val="00FF35FF"/>
    <w:rsid w:val="00FF4033"/>
    <w:rsid w:val="00FF5594"/>
    <w:rsid w:val="00FF607B"/>
    <w:rsid w:val="00FF6FD1"/>
    <w:rsid w:val="00FF7198"/>
    <w:rsid w:val="4040397F"/>
    <w:rsid w:val="4152C978"/>
    <w:rsid w:val="4F66E111"/>
    <w:rsid w:val="58D7E313"/>
    <w:rsid w:val="5B983A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4008"/>
  <w15:chartTrackingRefBased/>
  <w15:docId w15:val="{FAA2F4D8-CA48-4862-9AB0-506073C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autoRedefine/>
    <w:qFormat/>
    <w:rsid w:val="00206460"/>
    <w:pPr>
      <w:keepNext/>
      <w:outlineLvl w:val="0"/>
    </w:pPr>
    <w:rPr>
      <w:b/>
      <w:bCs/>
      <w:kern w:val="32"/>
      <w:szCs w:val="32"/>
      <w:lang w:eastAsia="en-US"/>
    </w:rPr>
  </w:style>
  <w:style w:type="paragraph" w:styleId="Kop2">
    <w:name w:val="heading 2"/>
    <w:basedOn w:val="Standaard"/>
    <w:next w:val="Standaard"/>
    <w:link w:val="Kop2Char"/>
    <w:unhideWhenUsed/>
    <w:qFormat/>
    <w:rsid w:val="00206460"/>
    <w:pPr>
      <w:keepNext/>
      <w:outlineLvl w:val="1"/>
    </w:pPr>
    <w:rPr>
      <w:bCs/>
      <w:i/>
      <w:iCs/>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unhideWhenUsed/>
    <w:rsid w:val="005511CE"/>
    <w:rPr>
      <w:sz w:val="16"/>
      <w:szCs w:val="16"/>
    </w:rPr>
  </w:style>
  <w:style w:type="paragraph" w:styleId="Tekstopmerking">
    <w:name w:val="annotation text"/>
    <w:basedOn w:val="Standaard"/>
    <w:link w:val="TekstopmerkingChar"/>
    <w:unhideWhenUsed/>
    <w:rsid w:val="005511CE"/>
    <w:rPr>
      <w:rFonts w:ascii="Calibri" w:eastAsia="Calibri" w:hAnsi="Calibri"/>
      <w:lang w:eastAsia="en-US"/>
    </w:rPr>
  </w:style>
  <w:style w:type="character" w:customStyle="1" w:styleId="TekstopmerkingChar">
    <w:name w:val="Tekst opmerking Char"/>
    <w:link w:val="Tekstopmerking"/>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standaard 04."/>
    <w:basedOn w:val="Standaard"/>
    <w:link w:val="000Char"/>
    <w:qFormat/>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83 Cha"/>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206460"/>
    <w:rPr>
      <w:rFonts w:ascii="Arial" w:hAnsi="Arial"/>
      <w:b/>
      <w:bCs/>
      <w:kern w:val="32"/>
      <w:szCs w:val="32"/>
      <w:lang w:eastAsia="en-US"/>
    </w:rPr>
  </w:style>
  <w:style w:type="character" w:customStyle="1" w:styleId="Kop2Char">
    <w:name w:val="Kop 2 Char"/>
    <w:link w:val="Kop2"/>
    <w:rsid w:val="00206460"/>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428C"/>
    <w:pPr>
      <w:tabs>
        <w:tab w:val="right" w:pos="9062"/>
      </w:tabs>
    </w:pPr>
    <w:rPr>
      <w:rFonts w:cs="Calibri"/>
      <w:b/>
      <w:bCs/>
    </w:rPr>
  </w:style>
  <w:style w:type="paragraph" w:styleId="Inhopg2">
    <w:name w:val="toc 2"/>
    <w:basedOn w:val="Standaard"/>
    <w:next w:val="Standaard"/>
    <w:autoRedefine/>
    <w:uiPriority w:val="39"/>
    <w:unhideWhenUsed/>
    <w:rsid w:val="0062428C"/>
    <w:pPr>
      <w:tabs>
        <w:tab w:val="right" w:pos="9062"/>
      </w:tabs>
      <w:ind w:left="284"/>
    </w:pPr>
    <w:rPr>
      <w:rFonts w:cs="Calibri"/>
      <w:iC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ind w:left="4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206460"/>
    <w:pPr>
      <w:spacing w:before="240"/>
    </w:pPr>
    <w:rPr>
      <w:b/>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206460"/>
    <w:rPr>
      <w:rFonts w:ascii="Arial" w:hAnsi="Arial"/>
      <w:b/>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cs="Calibri"/>
    </w:rPr>
  </w:style>
  <w:style w:type="paragraph" w:styleId="Inhopg5">
    <w:name w:val="toc 5"/>
    <w:basedOn w:val="Standaard"/>
    <w:next w:val="Standaard"/>
    <w:autoRedefine/>
    <w:uiPriority w:val="39"/>
    <w:unhideWhenUsed/>
    <w:rsid w:val="00803B8B"/>
    <w:pPr>
      <w:ind w:left="800"/>
    </w:pPr>
    <w:rPr>
      <w:rFonts w:ascii="Calibri" w:hAnsi="Calibri" w:cs="Calibri"/>
    </w:rPr>
  </w:style>
  <w:style w:type="paragraph" w:styleId="Inhopg6">
    <w:name w:val="toc 6"/>
    <w:basedOn w:val="Standaard"/>
    <w:next w:val="Standaard"/>
    <w:autoRedefine/>
    <w:uiPriority w:val="39"/>
    <w:unhideWhenUsed/>
    <w:rsid w:val="00803B8B"/>
    <w:pPr>
      <w:ind w:left="1000"/>
    </w:pPr>
    <w:rPr>
      <w:rFonts w:ascii="Calibri" w:hAnsi="Calibri" w:cs="Calibri"/>
    </w:rPr>
  </w:style>
  <w:style w:type="paragraph" w:styleId="Inhopg7">
    <w:name w:val="toc 7"/>
    <w:basedOn w:val="Standaard"/>
    <w:next w:val="Standaard"/>
    <w:autoRedefine/>
    <w:uiPriority w:val="39"/>
    <w:unhideWhenUsed/>
    <w:rsid w:val="00803B8B"/>
    <w:pPr>
      <w:ind w:left="1200"/>
    </w:pPr>
    <w:rPr>
      <w:rFonts w:ascii="Calibri" w:hAnsi="Calibri" w:cs="Calibri"/>
    </w:rPr>
  </w:style>
  <w:style w:type="paragraph" w:styleId="Inhopg8">
    <w:name w:val="toc 8"/>
    <w:basedOn w:val="Standaard"/>
    <w:next w:val="Standaard"/>
    <w:autoRedefine/>
    <w:uiPriority w:val="39"/>
    <w:unhideWhenUsed/>
    <w:rsid w:val="00803B8B"/>
    <w:pPr>
      <w:ind w:left="1400"/>
    </w:pPr>
    <w:rPr>
      <w:rFonts w:ascii="Calibri" w:hAnsi="Calibri" w:cs="Calibri"/>
    </w:rPr>
  </w:style>
  <w:style w:type="paragraph" w:styleId="Inhopg9">
    <w:name w:val="toc 9"/>
    <w:basedOn w:val="Standaard"/>
    <w:next w:val="Standaard"/>
    <w:autoRedefine/>
    <w:uiPriority w:val="39"/>
    <w:unhideWhenUsed/>
    <w:rsid w:val="00803B8B"/>
    <w:pPr>
      <w:ind w:left="1600"/>
    </w:pPr>
    <w:rPr>
      <w:rFonts w:ascii="Calibri" w:hAnsi="Calibri" w:cs="Calibri"/>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 w:type="character" w:styleId="GevolgdeHyperlink">
    <w:name w:val="FollowedHyperlink"/>
    <w:uiPriority w:val="99"/>
    <w:semiHidden/>
    <w:unhideWhenUsed/>
    <w:rsid w:val="0002672C"/>
    <w:rPr>
      <w:color w:val="954F72"/>
      <w:u w:val="single"/>
    </w:rPr>
  </w:style>
  <w:style w:type="character" w:styleId="Onopgelostemelding">
    <w:name w:val="Unresolved Mention"/>
    <w:uiPriority w:val="99"/>
    <w:semiHidden/>
    <w:unhideWhenUsed/>
    <w:rsid w:val="0072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10" ma:contentTypeDescription="Een nieuw document maken." ma:contentTypeScope="" ma:versionID="abbb5b5203a21a9173af32345e4a495f">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f17016340684dbff77cdecf1dab10fe4"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C23BBE4-4D4B-40DF-A85F-C76D131A7713}">
  <ds:schemaRefs>
    <ds:schemaRef ds:uri="http://schemas.microsoft.com/office/2006/documentManagement/types"/>
    <ds:schemaRef ds:uri="6e51bfaf-d5b1-4d15-a7e0-962f771743e7"/>
    <ds:schemaRef ds:uri="597130b8-dec9-4d7c-b45b-e8ec1c626651"/>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0A5DA2D-DC7A-4424-96B3-63FFAD4181CF}">
  <ds:schemaRefs>
    <ds:schemaRef ds:uri="http://schemas.microsoft.com/sharepoint/v3/contenttype/forms"/>
  </ds:schemaRefs>
</ds:datastoreItem>
</file>

<file path=customXml/itemProps3.xml><?xml version="1.0" encoding="utf-8"?>
<ds:datastoreItem xmlns:ds="http://schemas.openxmlformats.org/officeDocument/2006/customXml" ds:itemID="{35E3DB55-3B1C-4FC0-BAFF-0DEE5EEC7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2624</Words>
  <Characters>14438</Characters>
  <Application>Microsoft Office Word</Application>
  <DocSecurity>0</DocSecurity>
  <Lines>120</Lines>
  <Paragraphs>34</Paragraphs>
  <ScaleCrop>false</ScaleCrop>
  <Company>NBA</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dcterms:created xsi:type="dcterms:W3CDTF">2025-01-17T08:44:00Z</dcterms:created>
  <dcterms:modified xsi:type="dcterms:W3CDTF">2025-01-17T08:45:00Z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y fmtid="{D5CDD505-2E9C-101B-9397-08002B2CF9AE}" pid="5" name="MSIP_Label_ea60d57e-af5b-4752-ac57-3e4f28ca11dc_Enabled">
    <vt:lpwstr>true</vt:lpwstr>
  </property>
  <property fmtid="{D5CDD505-2E9C-101B-9397-08002B2CF9AE}" pid="6" name="MSIP_Label_ea60d57e-af5b-4752-ac57-3e4f28ca11dc_SetDate">
    <vt:lpwstr>2024-12-19T13:35:43Z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94c0b326-4cfe-4206-b228-033934a727ae</vt:lpwstr>
  </property>
  <property fmtid="{D5CDD505-2E9C-101B-9397-08002B2CF9AE}" pid="11" name="MSIP_Label_ea60d57e-af5b-4752-ac57-3e4f28ca11dc_ContentBits">
    <vt:lpwstr>0</vt:lpwstr>
  </property>
  <property fmtid="{D5CDD505-2E9C-101B-9397-08002B2CF9AE}" pid="12" name="eyTemplate">
    <vt:lpwstr>ONBEKEND</vt:lpwstr>
  </property>
</Properties>
</file>