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A215F4" w14:textId="66E90BA0" w:rsidR="00CA3006" w:rsidRPr="00CA3006" w:rsidRDefault="00CA3006" w:rsidP="00CA3006">
      <w:pPr>
        <w:rPr>
          <w:b/>
          <w:sz w:val="24"/>
        </w:rPr>
      </w:pPr>
      <w:bookmarkStart w:id="0" w:name="_GoBack"/>
      <w:r w:rsidRPr="00CA3006">
        <w:rPr>
          <w:b/>
          <w:sz w:val="24"/>
        </w:rPr>
        <w:t xml:space="preserve">Template </w:t>
      </w:r>
      <w:r>
        <w:rPr>
          <w:b/>
          <w:sz w:val="24"/>
        </w:rPr>
        <w:t>initiële</w:t>
      </w:r>
      <w:r w:rsidRPr="00CA3006">
        <w:rPr>
          <w:b/>
          <w:sz w:val="24"/>
        </w:rPr>
        <w:t xml:space="preserve"> analyse aanwijzingen voor fraude/overtreding</w:t>
      </w:r>
      <w:r>
        <w:rPr>
          <w:b/>
          <w:sz w:val="24"/>
        </w:rPr>
        <w:t xml:space="preserve"> </w:t>
      </w:r>
    </w:p>
    <w:bookmarkEnd w:id="0"/>
    <w:p w14:paraId="5D77621A" w14:textId="77777777" w:rsidR="00FF3241" w:rsidRDefault="00FF3241">
      <w:pPr>
        <w:rPr>
          <w:rStyle w:val="Stijl10pt"/>
        </w:rPr>
      </w:pPr>
    </w:p>
    <w:p w14:paraId="3823BE62" w14:textId="347158BC" w:rsidR="00153413" w:rsidRDefault="00CA3006">
      <w:pPr>
        <w:rPr>
          <w:rStyle w:val="Stijl10pt"/>
        </w:rPr>
      </w:pPr>
      <w:r>
        <w:rPr>
          <w:rStyle w:val="Stijl10pt"/>
        </w:rPr>
        <w:t xml:space="preserve">Als een </w:t>
      </w:r>
      <w:r w:rsidR="00FF3241">
        <w:rPr>
          <w:rStyle w:val="Stijl10pt"/>
        </w:rPr>
        <w:t>accountant bij de uitvoering van zijn werkzaamheden stuit op een signaal of een aanwijzing van onregelmatigheden</w:t>
      </w:r>
      <w:r w:rsidR="00022F49">
        <w:rPr>
          <w:rStyle w:val="Stijl10pt"/>
        </w:rPr>
        <w:t xml:space="preserve"> (fraude en het niet naleven van wet- en regelgeving)</w:t>
      </w:r>
      <w:r w:rsidR="00FF3241">
        <w:rPr>
          <w:rStyle w:val="Stijl10pt"/>
        </w:rPr>
        <w:t xml:space="preserve"> </w:t>
      </w:r>
      <w:r>
        <w:rPr>
          <w:rStyle w:val="Stijl10pt"/>
        </w:rPr>
        <w:t xml:space="preserve">dan voert hij </w:t>
      </w:r>
      <w:r w:rsidR="00FF3241">
        <w:rPr>
          <w:rStyle w:val="Stijl10pt"/>
        </w:rPr>
        <w:t xml:space="preserve">een initiële </w:t>
      </w:r>
      <w:r w:rsidR="00861436">
        <w:rPr>
          <w:rStyle w:val="Stijl10pt"/>
        </w:rPr>
        <w:t>evaluatie</w:t>
      </w:r>
      <w:r w:rsidR="00FF3241">
        <w:rPr>
          <w:rStyle w:val="Stijl10pt"/>
        </w:rPr>
        <w:t xml:space="preserve"> uit</w:t>
      </w:r>
      <w:r>
        <w:rPr>
          <w:rStyle w:val="Stijl10pt"/>
        </w:rPr>
        <w:t>.</w:t>
      </w:r>
      <w:r w:rsidR="00FF3241">
        <w:rPr>
          <w:rStyle w:val="Stijl10pt"/>
        </w:rPr>
        <w:t xml:space="preserve"> </w:t>
      </w:r>
    </w:p>
    <w:p w14:paraId="07A87AEA" w14:textId="77777777" w:rsidR="00153413" w:rsidRDefault="00153413">
      <w:pPr>
        <w:rPr>
          <w:rStyle w:val="Stijl10pt"/>
        </w:rPr>
      </w:pPr>
    </w:p>
    <w:p w14:paraId="47FB6D37" w14:textId="1DA6089A" w:rsidR="00FF3241" w:rsidRDefault="00FF3241">
      <w:pPr>
        <w:rPr>
          <w:rStyle w:val="Stijl10pt"/>
        </w:rPr>
      </w:pPr>
      <w:r>
        <w:rPr>
          <w:rStyle w:val="Stijl10pt"/>
        </w:rPr>
        <w:t>D</w:t>
      </w:r>
      <w:r w:rsidR="00CA3006">
        <w:rPr>
          <w:rStyle w:val="Stijl10pt"/>
        </w:rPr>
        <w:t>oel van de</w:t>
      </w:r>
      <w:r>
        <w:rPr>
          <w:rStyle w:val="Stijl10pt"/>
        </w:rPr>
        <w:t xml:space="preserve">ze initiële </w:t>
      </w:r>
      <w:r w:rsidR="00861436">
        <w:rPr>
          <w:rStyle w:val="Stijl10pt"/>
        </w:rPr>
        <w:t>evaluatie</w:t>
      </w:r>
      <w:r w:rsidR="00CA3006">
        <w:rPr>
          <w:rStyle w:val="Stijl10pt"/>
        </w:rPr>
        <w:t xml:space="preserve"> is</w:t>
      </w:r>
      <w:r>
        <w:rPr>
          <w:rStyle w:val="Stijl10pt"/>
        </w:rPr>
        <w:t>:</w:t>
      </w:r>
    </w:p>
    <w:p w14:paraId="05A4B472" w14:textId="77777777" w:rsidR="00CA3006" w:rsidRDefault="00CA3006">
      <w:pPr>
        <w:rPr>
          <w:rStyle w:val="Stijl10pt"/>
        </w:rPr>
      </w:pPr>
    </w:p>
    <w:p w14:paraId="272B3526" w14:textId="4426F077" w:rsidR="00D13D3E" w:rsidRDefault="003D3FA9" w:rsidP="00D13D3E">
      <w:pPr>
        <w:numPr>
          <w:ilvl w:val="0"/>
          <w:numId w:val="1"/>
        </w:numPr>
        <w:rPr>
          <w:rStyle w:val="Stijl10pt"/>
        </w:rPr>
      </w:pPr>
      <w:r>
        <w:rPr>
          <w:rStyle w:val="Stijl10pt"/>
        </w:rPr>
        <w:t>Beoordelen van het signaal</w:t>
      </w:r>
      <w:r w:rsidR="00FF3241">
        <w:rPr>
          <w:rStyle w:val="Stijl10pt"/>
        </w:rPr>
        <w:t xml:space="preserve"> en bepalen van noodzakelijke vervolgstappen en/of aanvullende werkzaamheden</w:t>
      </w:r>
      <w:r w:rsidR="00096B76">
        <w:rPr>
          <w:rStyle w:val="Stijl10pt"/>
        </w:rPr>
        <w:t>, teneinde</w:t>
      </w:r>
      <w:r w:rsidR="00096B76" w:rsidRPr="00096B76">
        <w:rPr>
          <w:rStyle w:val="Stijl10pt"/>
        </w:rPr>
        <w:t xml:space="preserve"> op passende wijze in</w:t>
      </w:r>
      <w:r w:rsidR="00096B76">
        <w:rPr>
          <w:rStyle w:val="Stijl10pt"/>
        </w:rPr>
        <w:t xml:space="preserve"> te </w:t>
      </w:r>
      <w:r w:rsidR="00096B76" w:rsidRPr="00096B76">
        <w:rPr>
          <w:rStyle w:val="Stijl10pt"/>
        </w:rPr>
        <w:t>spelen op fraude of vermoede fraude die tijdens de controle is geïdentificeerd</w:t>
      </w:r>
      <w:r w:rsidR="006C43AB">
        <w:rPr>
          <w:rStyle w:val="Stijl10pt"/>
        </w:rPr>
        <w:t>,</w:t>
      </w:r>
      <w:r w:rsidR="00AD7A28">
        <w:rPr>
          <w:rStyle w:val="Stijl10pt"/>
        </w:rPr>
        <w:t xml:space="preserve"> </w:t>
      </w:r>
      <w:proofErr w:type="spellStart"/>
      <w:r w:rsidR="00AD7A28">
        <w:rPr>
          <w:rStyle w:val="Stijl10pt"/>
        </w:rPr>
        <w:t>danwel</w:t>
      </w:r>
      <w:proofErr w:type="spellEnd"/>
      <w:r w:rsidR="00AD7A28">
        <w:rPr>
          <w:rStyle w:val="Stijl10pt"/>
        </w:rPr>
        <w:t xml:space="preserve"> </w:t>
      </w:r>
      <w:r w:rsidR="00AD7A28" w:rsidRPr="00AD7A28">
        <w:rPr>
          <w:rStyle w:val="Stijl10pt"/>
        </w:rPr>
        <w:t>op tijdens de controle geïdentificeerde niet-naleving of vermoedens van niet-naleving van wet- en regelgeving</w:t>
      </w:r>
      <w:r w:rsidR="00096B76">
        <w:rPr>
          <w:rStyle w:val="Voetnootmarkering"/>
          <w:sz w:val="20"/>
        </w:rPr>
        <w:footnoteReference w:id="1"/>
      </w:r>
      <w:r w:rsidR="00435BE8">
        <w:rPr>
          <w:rStyle w:val="Stijl10pt"/>
        </w:rPr>
        <w:t>.</w:t>
      </w:r>
      <w:r w:rsidR="00D13D3E">
        <w:rPr>
          <w:rStyle w:val="Stijl10pt"/>
        </w:rPr>
        <w:t xml:space="preserve"> </w:t>
      </w:r>
    </w:p>
    <w:p w14:paraId="24E3E4EA" w14:textId="77777777" w:rsidR="00CA3006" w:rsidRDefault="00CA3006" w:rsidP="00CA3006">
      <w:pPr>
        <w:ind w:left="360"/>
        <w:rPr>
          <w:rStyle w:val="Stijl10pt"/>
        </w:rPr>
      </w:pPr>
    </w:p>
    <w:p w14:paraId="0AB9931C" w14:textId="45A6EB29" w:rsidR="00FF3241" w:rsidRDefault="00FF3241" w:rsidP="00FF3241">
      <w:pPr>
        <w:numPr>
          <w:ilvl w:val="0"/>
          <w:numId w:val="1"/>
        </w:numPr>
        <w:rPr>
          <w:rStyle w:val="Stijl10pt"/>
        </w:rPr>
      </w:pPr>
      <w:r>
        <w:rPr>
          <w:rStyle w:val="Stijl10pt"/>
        </w:rPr>
        <w:t xml:space="preserve">Waarborgen dat een </w:t>
      </w:r>
      <w:r w:rsidR="00861436">
        <w:rPr>
          <w:rStyle w:val="Stijl10pt"/>
        </w:rPr>
        <w:t>evaluatie</w:t>
      </w:r>
      <w:r>
        <w:rPr>
          <w:rStyle w:val="Stijl10pt"/>
        </w:rPr>
        <w:t xml:space="preserve"> wordt uitgevoerd of mogelijk sprake kan zijn van een ongebruikelijke transactie</w:t>
      </w:r>
      <w:r w:rsidR="00435BE8">
        <w:rPr>
          <w:rStyle w:val="Stijl10pt"/>
        </w:rPr>
        <w:t xml:space="preserve"> </w:t>
      </w:r>
      <w:r w:rsidR="00153413">
        <w:rPr>
          <w:rStyle w:val="Stijl10pt"/>
        </w:rPr>
        <w:t xml:space="preserve">uit hoofde van de </w:t>
      </w:r>
      <w:r w:rsidR="0029757C">
        <w:rPr>
          <w:sz w:val="20"/>
        </w:rPr>
        <w:t>Wet ter voorkoming van witwassen en financieren van terrorisme (</w:t>
      </w:r>
      <w:r w:rsidR="0029757C" w:rsidRPr="0029757C">
        <w:rPr>
          <w:sz w:val="20"/>
        </w:rPr>
        <w:t>W</w:t>
      </w:r>
      <w:r w:rsidR="0029757C">
        <w:rPr>
          <w:sz w:val="20"/>
        </w:rPr>
        <w:t>wft)</w:t>
      </w:r>
      <w:r>
        <w:rPr>
          <w:rStyle w:val="Stijl10pt"/>
        </w:rPr>
        <w:t>, die onverwijld gemeld dient te worden</w:t>
      </w:r>
      <w:r w:rsidR="00D402C3">
        <w:rPr>
          <w:rStyle w:val="Voetnootmarkering"/>
          <w:sz w:val="20"/>
        </w:rPr>
        <w:footnoteReference w:id="2"/>
      </w:r>
      <w:r w:rsidR="00435BE8">
        <w:rPr>
          <w:rStyle w:val="Stijl10pt"/>
        </w:rPr>
        <w:t>.</w:t>
      </w:r>
    </w:p>
    <w:p w14:paraId="0373456C" w14:textId="77777777" w:rsidR="00CA3006" w:rsidRDefault="00CA3006" w:rsidP="00CA3006">
      <w:pPr>
        <w:pStyle w:val="Lijstalinea"/>
        <w:rPr>
          <w:rStyle w:val="Stijl10pt"/>
        </w:rPr>
      </w:pPr>
    </w:p>
    <w:p w14:paraId="2F985EA2" w14:textId="77777777" w:rsidR="00CA3006" w:rsidRDefault="00CA3006" w:rsidP="00CA3006">
      <w:pPr>
        <w:rPr>
          <w:rStyle w:val="Stijl10pt"/>
        </w:rPr>
      </w:pPr>
    </w:p>
    <w:p w14:paraId="0C4D57F7" w14:textId="12211B0D" w:rsidR="00FF3241" w:rsidRDefault="00FF3241" w:rsidP="00FF3241">
      <w:pPr>
        <w:numPr>
          <w:ilvl w:val="0"/>
          <w:numId w:val="1"/>
        </w:numPr>
        <w:rPr>
          <w:rStyle w:val="Stijl10pt"/>
        </w:rPr>
      </w:pPr>
      <w:r>
        <w:rPr>
          <w:rStyle w:val="Stijl10pt"/>
        </w:rPr>
        <w:t xml:space="preserve">Waarborgen dat </w:t>
      </w:r>
      <w:r w:rsidR="0029757C">
        <w:rPr>
          <w:rStyle w:val="Stijl10pt"/>
        </w:rPr>
        <w:t xml:space="preserve">ingeval van een wettelijke controle </w:t>
      </w:r>
      <w:r>
        <w:rPr>
          <w:rStyle w:val="Stijl10pt"/>
        </w:rPr>
        <w:t xml:space="preserve">een </w:t>
      </w:r>
      <w:r w:rsidR="00861436">
        <w:rPr>
          <w:rStyle w:val="Stijl10pt"/>
        </w:rPr>
        <w:t>evaluatie</w:t>
      </w:r>
      <w:r>
        <w:rPr>
          <w:rStyle w:val="Stijl10pt"/>
        </w:rPr>
        <w:t xml:space="preserve"> wordt uitgevoerd of mogelijk sprake is van een incident dat </w:t>
      </w:r>
      <w:r w:rsidR="0029757C">
        <w:rPr>
          <w:rStyle w:val="Stijl10pt"/>
        </w:rPr>
        <w:t xml:space="preserve">door de accountantsorganisatie </w:t>
      </w:r>
      <w:r>
        <w:rPr>
          <w:rStyle w:val="Stijl10pt"/>
        </w:rPr>
        <w:t>onmiddellijk gemeld moet worden aan de AFM</w:t>
      </w:r>
      <w:r w:rsidR="00435BE8">
        <w:rPr>
          <w:rStyle w:val="Stijl10pt"/>
        </w:rPr>
        <w:t>.</w:t>
      </w:r>
    </w:p>
    <w:p w14:paraId="18B46355" w14:textId="77777777" w:rsidR="00CA3006" w:rsidRDefault="00CA3006" w:rsidP="00CA3006">
      <w:pPr>
        <w:ind w:left="360"/>
        <w:rPr>
          <w:rStyle w:val="Stijl10pt"/>
        </w:rPr>
      </w:pPr>
    </w:p>
    <w:p w14:paraId="0E345A74" w14:textId="65235D05" w:rsidR="003D3FA9" w:rsidRDefault="003D3FA9" w:rsidP="00FF3241">
      <w:pPr>
        <w:numPr>
          <w:ilvl w:val="0"/>
          <w:numId w:val="1"/>
        </w:numPr>
        <w:rPr>
          <w:rStyle w:val="Stijl10pt"/>
        </w:rPr>
      </w:pPr>
      <w:r>
        <w:rPr>
          <w:rStyle w:val="Stijl10pt"/>
        </w:rPr>
        <w:t xml:space="preserve">Waarborgen dat een </w:t>
      </w:r>
      <w:r w:rsidR="00861436">
        <w:rPr>
          <w:rStyle w:val="Stijl10pt"/>
        </w:rPr>
        <w:t>evaluatie</w:t>
      </w:r>
      <w:r>
        <w:rPr>
          <w:rStyle w:val="Stijl10pt"/>
        </w:rPr>
        <w:t xml:space="preserve"> wordt uitgevoerd of mogelijk sprake is van </w:t>
      </w:r>
      <w:r w:rsidR="00525A67">
        <w:rPr>
          <w:rStyle w:val="Stijl10pt"/>
        </w:rPr>
        <w:t>een niet naleving met</w:t>
      </w:r>
      <w:r>
        <w:rPr>
          <w:rStyle w:val="Stijl10pt"/>
        </w:rPr>
        <w:t xml:space="preserve"> een aanzienlijke schade </w:t>
      </w:r>
      <w:r w:rsidR="00525A67">
        <w:rPr>
          <w:rStyle w:val="Stijl10pt"/>
        </w:rPr>
        <w:t xml:space="preserve">waarvoor </w:t>
      </w:r>
      <w:r>
        <w:rPr>
          <w:rStyle w:val="Stijl10pt"/>
        </w:rPr>
        <w:t xml:space="preserve">een melding bij een daartoe bevoegde instantie </w:t>
      </w:r>
      <w:r w:rsidR="00525A67">
        <w:rPr>
          <w:rStyle w:val="Stijl10pt"/>
        </w:rPr>
        <w:t xml:space="preserve">is </w:t>
      </w:r>
      <w:r>
        <w:rPr>
          <w:rStyle w:val="Stijl10pt"/>
        </w:rPr>
        <w:t>vereist, in het kader van NV NOCLAR.</w:t>
      </w:r>
    </w:p>
    <w:p w14:paraId="4B6BFB34" w14:textId="77777777" w:rsidR="00CA3006" w:rsidRDefault="00CA3006" w:rsidP="00CA3006">
      <w:pPr>
        <w:ind w:left="360"/>
        <w:rPr>
          <w:rStyle w:val="Stijl10pt"/>
        </w:rPr>
      </w:pPr>
    </w:p>
    <w:p w14:paraId="6633BB00" w14:textId="1DBE0B20" w:rsidR="005D5252" w:rsidRDefault="005D5252" w:rsidP="00FF3241">
      <w:pPr>
        <w:numPr>
          <w:ilvl w:val="0"/>
          <w:numId w:val="1"/>
        </w:numPr>
        <w:rPr>
          <w:rStyle w:val="Stijl10pt"/>
        </w:rPr>
      </w:pPr>
      <w:r>
        <w:rPr>
          <w:rStyle w:val="Stijl10pt"/>
        </w:rPr>
        <w:t>Evalueren of er anderszins sprake is van een externe meldplicht</w:t>
      </w:r>
      <w:r w:rsidR="00C2378D">
        <w:rPr>
          <w:rStyle w:val="Stijl10pt"/>
        </w:rPr>
        <w:t>, bijvoorbeeld op basis van de Wet financieel toezicht (</w:t>
      </w:r>
      <w:proofErr w:type="spellStart"/>
      <w:r w:rsidR="00C2378D">
        <w:rPr>
          <w:rStyle w:val="Stijl10pt"/>
        </w:rPr>
        <w:t>Wft</w:t>
      </w:r>
      <w:proofErr w:type="spellEnd"/>
      <w:r w:rsidR="00C2378D">
        <w:rPr>
          <w:rStyle w:val="Stijl10pt"/>
        </w:rPr>
        <w:t>)</w:t>
      </w:r>
      <w:r w:rsidR="0029757C">
        <w:rPr>
          <w:rStyle w:val="Stijl10pt"/>
        </w:rPr>
        <w:t>.</w:t>
      </w:r>
    </w:p>
    <w:p w14:paraId="1EBD8ED0" w14:textId="20354CBF" w:rsidR="00CA3006" w:rsidRDefault="00CA3006" w:rsidP="00CA3006">
      <w:pPr>
        <w:rPr>
          <w:rStyle w:val="Stijl10pt"/>
        </w:rPr>
      </w:pPr>
    </w:p>
    <w:p w14:paraId="5E66B975" w14:textId="6A4524D1" w:rsidR="003C2258" w:rsidRDefault="00435BE8" w:rsidP="00F467E6">
      <w:pPr>
        <w:numPr>
          <w:ilvl w:val="0"/>
          <w:numId w:val="1"/>
        </w:numPr>
        <w:rPr>
          <w:rStyle w:val="Stijl10pt"/>
        </w:rPr>
      </w:pPr>
      <w:r>
        <w:rPr>
          <w:rStyle w:val="Stijl10pt"/>
        </w:rPr>
        <w:t xml:space="preserve">Fungeren als ‘trigger’ om het management en/of de met </w:t>
      </w:r>
      <w:proofErr w:type="spellStart"/>
      <w:r>
        <w:rPr>
          <w:rStyle w:val="Stijl10pt"/>
        </w:rPr>
        <w:t>governance</w:t>
      </w:r>
      <w:proofErr w:type="spellEnd"/>
      <w:r>
        <w:rPr>
          <w:rStyle w:val="Stijl10pt"/>
        </w:rPr>
        <w:t xml:space="preserve"> belaste personen </w:t>
      </w:r>
      <w:r w:rsidR="00861436">
        <w:rPr>
          <w:rStyle w:val="Stijl10pt"/>
        </w:rPr>
        <w:t xml:space="preserve">van de cliënt </w:t>
      </w:r>
      <w:r>
        <w:rPr>
          <w:rStyle w:val="Stijl10pt"/>
        </w:rPr>
        <w:t>te informeren over de (mogelijke) onregelmatigheden</w:t>
      </w:r>
      <w:r w:rsidR="00D402C3">
        <w:rPr>
          <w:rStyle w:val="Stijl10pt"/>
        </w:rPr>
        <w:t xml:space="preserve"> </w:t>
      </w:r>
      <w:r w:rsidR="00D402C3">
        <w:rPr>
          <w:rStyle w:val="Voetnootmarkering"/>
          <w:sz w:val="20"/>
        </w:rPr>
        <w:footnoteReference w:id="3"/>
      </w:r>
      <w:r>
        <w:rPr>
          <w:rStyle w:val="Stijl10pt"/>
        </w:rPr>
        <w:t>.</w:t>
      </w:r>
    </w:p>
    <w:p w14:paraId="1A9AAEDE" w14:textId="77777777" w:rsidR="00CA3006" w:rsidRDefault="003C2258" w:rsidP="00CA3006">
      <w:pPr>
        <w:rPr>
          <w:rStyle w:val="Stijl10pt"/>
        </w:rPr>
      </w:pPr>
      <w:r>
        <w:rPr>
          <w:rStyle w:val="Stijl10pt"/>
        </w:rPr>
        <w:br w:type="page"/>
      </w:r>
    </w:p>
    <w:p w14:paraId="4A7156E3" w14:textId="77777777" w:rsidR="00CA3006" w:rsidRDefault="00CA3006" w:rsidP="00CA3006">
      <w:pPr>
        <w:rPr>
          <w:rStyle w:val="Stijl10pt"/>
        </w:rPr>
      </w:pPr>
    </w:p>
    <w:p w14:paraId="3C134343" w14:textId="0C44E77D" w:rsidR="00F25874" w:rsidRPr="00CA3006" w:rsidRDefault="00AD7A28" w:rsidP="00CA3006">
      <w:pPr>
        <w:rPr>
          <w:rStyle w:val="Intensievebenadrukking"/>
          <w:b w:val="0"/>
          <w:bCs w:val="0"/>
          <w:i w:val="0"/>
          <w:iCs w:val="0"/>
          <w:color w:val="auto"/>
          <w:sz w:val="20"/>
        </w:rPr>
      </w:pPr>
      <w:r w:rsidRPr="00CA3006">
        <w:rPr>
          <w:rStyle w:val="Intensievebenadrukking"/>
          <w:color w:val="auto"/>
          <w:sz w:val="24"/>
          <w:szCs w:val="24"/>
        </w:rPr>
        <w:t xml:space="preserve">Initiële </w:t>
      </w:r>
      <w:r w:rsidR="00861436" w:rsidRPr="00CA3006">
        <w:rPr>
          <w:rStyle w:val="Intensievebenadrukking"/>
          <w:color w:val="auto"/>
          <w:sz w:val="24"/>
          <w:szCs w:val="24"/>
        </w:rPr>
        <w:t>evaluatie</w:t>
      </w:r>
      <w:r w:rsidR="00F25874" w:rsidRPr="00CA3006">
        <w:rPr>
          <w:rStyle w:val="Intensievebenadrukking"/>
          <w:color w:val="auto"/>
          <w:sz w:val="24"/>
          <w:szCs w:val="24"/>
        </w:rPr>
        <w:t xml:space="preserve"> </w:t>
      </w:r>
      <w:r w:rsidR="00CA3006" w:rsidRPr="00CA3006">
        <w:rPr>
          <w:rStyle w:val="Intensievebenadrukking"/>
          <w:color w:val="auto"/>
          <w:sz w:val="24"/>
          <w:szCs w:val="24"/>
        </w:rPr>
        <w:t xml:space="preserve">aanwijzingen voor fraude/overtreding </w:t>
      </w:r>
      <w:proofErr w:type="spellStart"/>
      <w:r w:rsidR="00CA3006" w:rsidRPr="00CA3006">
        <w:rPr>
          <w:rStyle w:val="Intensievebenadrukking"/>
          <w:color w:val="auto"/>
          <w:sz w:val="24"/>
          <w:szCs w:val="24"/>
        </w:rPr>
        <w:t>tbv</w:t>
      </w:r>
      <w:proofErr w:type="spellEnd"/>
      <w:r w:rsidR="00CA3006" w:rsidRPr="00CA3006">
        <w:rPr>
          <w:rStyle w:val="Intensievebenadrukking"/>
          <w:color w:val="auto"/>
          <w:sz w:val="24"/>
          <w:szCs w:val="24"/>
        </w:rPr>
        <w:t xml:space="preserve"> dossiervastlegging</w:t>
      </w:r>
    </w:p>
    <w:p w14:paraId="13F2CCDB" w14:textId="77777777" w:rsidR="00FF3241" w:rsidRDefault="00FF3241" w:rsidP="00FF3241">
      <w:pPr>
        <w:rPr>
          <w:rStyle w:val="Intensievebenadrukking"/>
        </w:rPr>
      </w:pPr>
    </w:p>
    <w:p w14:paraId="64A9A754" w14:textId="77777777" w:rsidR="00FF3241" w:rsidRPr="00CA3006" w:rsidRDefault="00B81049" w:rsidP="00AD7A28">
      <w:pPr>
        <w:numPr>
          <w:ilvl w:val="0"/>
          <w:numId w:val="3"/>
        </w:numPr>
        <w:rPr>
          <w:rStyle w:val="Subtielebenadrukking"/>
          <w:b/>
          <w:i w:val="0"/>
        </w:rPr>
      </w:pPr>
      <w:r w:rsidRPr="00CA3006">
        <w:rPr>
          <w:rStyle w:val="Subtielebenadrukking"/>
          <w:b/>
          <w:i w:val="0"/>
        </w:rPr>
        <w:t>Aard van de opdracht</w:t>
      </w:r>
    </w:p>
    <w:p w14:paraId="5B851D14" w14:textId="77777777" w:rsidR="00B81049" w:rsidRDefault="00B81049" w:rsidP="00B81049">
      <w:pPr>
        <w:rPr>
          <w:rStyle w:val="Subtielebenadrukking"/>
          <w:i w:val="0"/>
          <w:color w:val="auto"/>
        </w:rPr>
      </w:pPr>
      <w:r>
        <w:rPr>
          <w:rStyle w:val="Subtielebenadrukking"/>
          <w:i w:val="0"/>
        </w:rPr>
        <w:br/>
      </w:r>
      <w:r w:rsidRPr="00B81049">
        <w:rPr>
          <w:rStyle w:val="Subtielebenadrukking"/>
          <w:i w:val="0"/>
          <w:color w:val="auto"/>
        </w:rPr>
        <w:t xml:space="preserve">Beschrijf </w:t>
      </w:r>
      <w:r>
        <w:rPr>
          <w:rStyle w:val="Subtielebenadrukking"/>
          <w:i w:val="0"/>
          <w:color w:val="auto"/>
        </w:rPr>
        <w:t>de aard van de opdracht (controle/</w:t>
      </w:r>
      <w:r w:rsidR="00861436">
        <w:rPr>
          <w:rStyle w:val="Subtielebenadrukking"/>
          <w:i w:val="0"/>
          <w:color w:val="auto"/>
        </w:rPr>
        <w:t>beoordeling</w:t>
      </w:r>
      <w:r>
        <w:rPr>
          <w:rStyle w:val="Subtielebenadrukking"/>
          <w:i w:val="0"/>
          <w:color w:val="auto"/>
        </w:rPr>
        <w:t>/samenstel etc.) en de materialiteit.</w:t>
      </w:r>
    </w:p>
    <w:p w14:paraId="1CB960C2" w14:textId="77777777" w:rsidR="003F48B5" w:rsidRDefault="003F48B5" w:rsidP="00B81049">
      <w:pPr>
        <w:rPr>
          <w:rStyle w:val="Subtielebenadrukking"/>
          <w:i w:val="0"/>
          <w:color w:val="auto"/>
        </w:rPr>
      </w:pPr>
    </w:p>
    <w:p w14:paraId="0EC1B9D0" w14:textId="1E737C3D" w:rsidR="003F48B5" w:rsidRDefault="00E07281" w:rsidP="003F48B5">
      <w:pPr>
        <w:pBdr>
          <w:top w:val="single" w:sz="4" w:space="1" w:color="auto"/>
          <w:left w:val="single" w:sz="4" w:space="4" w:color="auto"/>
          <w:bottom w:val="single" w:sz="4" w:space="1" w:color="auto"/>
          <w:right w:val="single" w:sz="4" w:space="4" w:color="auto"/>
        </w:pBdr>
        <w:rPr>
          <w:rStyle w:val="Subtielebenadrukking"/>
          <w:i w:val="0"/>
          <w:color w:val="auto"/>
        </w:rPr>
      </w:pPr>
      <w:r>
        <w:rPr>
          <w:rStyle w:val="Subtielebenadrukking"/>
          <w:i w:val="0"/>
          <w:color w:val="auto"/>
        </w:rPr>
        <w:br/>
      </w:r>
    </w:p>
    <w:p w14:paraId="3902110B" w14:textId="09B2891C" w:rsidR="00AD7A28" w:rsidRDefault="00AD7A28" w:rsidP="00B81049">
      <w:pPr>
        <w:rPr>
          <w:rStyle w:val="Subtielebenadrukking"/>
          <w:i w:val="0"/>
          <w:color w:val="auto"/>
        </w:rPr>
      </w:pPr>
    </w:p>
    <w:p w14:paraId="2142A242" w14:textId="77777777" w:rsidR="003A2EA5" w:rsidRDefault="003A2EA5" w:rsidP="00B81049">
      <w:pPr>
        <w:rPr>
          <w:rStyle w:val="Subtielebenadrukking"/>
          <w:i w:val="0"/>
          <w:color w:val="auto"/>
        </w:rPr>
      </w:pPr>
    </w:p>
    <w:p w14:paraId="0BB71F1A" w14:textId="77777777" w:rsidR="00B81049" w:rsidRPr="00CA3006" w:rsidRDefault="00B81049" w:rsidP="00AD7A28">
      <w:pPr>
        <w:numPr>
          <w:ilvl w:val="0"/>
          <w:numId w:val="3"/>
        </w:numPr>
        <w:rPr>
          <w:rStyle w:val="Subtielebenadrukking"/>
          <w:b/>
          <w:i w:val="0"/>
        </w:rPr>
      </w:pPr>
      <w:r w:rsidRPr="00CA3006">
        <w:rPr>
          <w:rStyle w:val="Subtielebenadrukking"/>
          <w:b/>
          <w:i w:val="0"/>
        </w:rPr>
        <w:t>Beschrijving van de cliënt</w:t>
      </w:r>
    </w:p>
    <w:p w14:paraId="0B30E7B0" w14:textId="77777777" w:rsidR="00B81049" w:rsidRDefault="00B81049" w:rsidP="00B81049">
      <w:pPr>
        <w:rPr>
          <w:rStyle w:val="Subtielebenadrukking"/>
          <w:i w:val="0"/>
          <w:color w:val="auto"/>
        </w:rPr>
      </w:pPr>
      <w:r>
        <w:rPr>
          <w:rStyle w:val="Subtielebenadrukking"/>
          <w:i w:val="0"/>
        </w:rPr>
        <w:br/>
      </w:r>
      <w:r w:rsidRPr="00B81049">
        <w:rPr>
          <w:rStyle w:val="Subtielebenadrukking"/>
          <w:i w:val="0"/>
          <w:color w:val="auto"/>
        </w:rPr>
        <w:t xml:space="preserve">Beschrijf </w:t>
      </w:r>
      <w:r>
        <w:rPr>
          <w:rStyle w:val="Subtielebenadrukking"/>
          <w:i w:val="0"/>
          <w:color w:val="auto"/>
        </w:rPr>
        <w:t>de aard en omvang van de activiteiten van de cliënt alsmede eventuele groepsrelaties.</w:t>
      </w:r>
    </w:p>
    <w:p w14:paraId="6E350A19" w14:textId="77777777" w:rsidR="00B81049" w:rsidRDefault="00B81049" w:rsidP="00B81049">
      <w:pPr>
        <w:rPr>
          <w:rStyle w:val="Subtielebenadrukking"/>
          <w:i w:val="0"/>
          <w:color w:val="auto"/>
        </w:rPr>
      </w:pPr>
    </w:p>
    <w:p w14:paraId="03D16602" w14:textId="77777777" w:rsidR="003F48B5" w:rsidRDefault="00E07281" w:rsidP="003F48B5">
      <w:pPr>
        <w:pBdr>
          <w:top w:val="single" w:sz="4" w:space="1" w:color="auto"/>
          <w:left w:val="single" w:sz="4" w:space="4" w:color="auto"/>
          <w:bottom w:val="single" w:sz="4" w:space="1" w:color="auto"/>
          <w:right w:val="single" w:sz="4" w:space="4" w:color="auto"/>
        </w:pBdr>
        <w:rPr>
          <w:rStyle w:val="Subtielebenadrukking"/>
          <w:i w:val="0"/>
          <w:color w:val="auto"/>
        </w:rPr>
      </w:pPr>
      <w:r>
        <w:rPr>
          <w:rStyle w:val="Subtielebenadrukking"/>
          <w:i w:val="0"/>
          <w:color w:val="auto"/>
        </w:rPr>
        <w:br/>
      </w:r>
    </w:p>
    <w:p w14:paraId="13431732" w14:textId="1C71A048" w:rsidR="003F48B5" w:rsidRDefault="003F48B5" w:rsidP="00B81049">
      <w:pPr>
        <w:rPr>
          <w:rStyle w:val="Subtielebenadrukking"/>
          <w:i w:val="0"/>
          <w:color w:val="auto"/>
        </w:rPr>
      </w:pPr>
    </w:p>
    <w:p w14:paraId="4E1E9D55" w14:textId="77777777" w:rsidR="003A2EA5" w:rsidRDefault="003A2EA5" w:rsidP="00B81049">
      <w:pPr>
        <w:rPr>
          <w:rStyle w:val="Subtielebenadrukking"/>
          <w:i w:val="0"/>
          <w:color w:val="auto"/>
        </w:rPr>
      </w:pPr>
    </w:p>
    <w:p w14:paraId="0FDDA30C" w14:textId="77777777" w:rsidR="00B81049" w:rsidRPr="00CA3006" w:rsidRDefault="00B81049" w:rsidP="00AD7A28">
      <w:pPr>
        <w:numPr>
          <w:ilvl w:val="0"/>
          <w:numId w:val="3"/>
        </w:numPr>
        <w:rPr>
          <w:rStyle w:val="Subtielebenadrukking"/>
          <w:b/>
          <w:i w:val="0"/>
        </w:rPr>
      </w:pPr>
      <w:r w:rsidRPr="00CA3006">
        <w:rPr>
          <w:rStyle w:val="Subtielebenadrukking"/>
          <w:b/>
          <w:i w:val="0"/>
        </w:rPr>
        <w:t>Beschrijvi</w:t>
      </w:r>
      <w:r w:rsidR="006D200F" w:rsidRPr="00CA3006">
        <w:rPr>
          <w:rStyle w:val="Subtielebenadrukking"/>
          <w:b/>
          <w:i w:val="0"/>
        </w:rPr>
        <w:t>ng van het signaal</w:t>
      </w:r>
      <w:r w:rsidRPr="00CA3006">
        <w:rPr>
          <w:rStyle w:val="Subtielebenadrukking"/>
          <w:b/>
          <w:i w:val="0"/>
        </w:rPr>
        <w:t xml:space="preserve"> van onregelmatigheden</w:t>
      </w:r>
    </w:p>
    <w:p w14:paraId="44C4BA95" w14:textId="18502568" w:rsidR="00B81049" w:rsidRDefault="00B81049" w:rsidP="00B81049">
      <w:pPr>
        <w:rPr>
          <w:rStyle w:val="Subtielebenadrukking"/>
          <w:i w:val="0"/>
          <w:color w:val="auto"/>
        </w:rPr>
      </w:pPr>
      <w:r>
        <w:rPr>
          <w:rStyle w:val="Subtielebenadrukking"/>
          <w:i w:val="0"/>
        </w:rPr>
        <w:br/>
      </w:r>
      <w:r w:rsidRPr="00B81049">
        <w:rPr>
          <w:rStyle w:val="Subtielebenadrukking"/>
          <w:i w:val="0"/>
          <w:color w:val="auto"/>
        </w:rPr>
        <w:t xml:space="preserve">Beschrijf </w:t>
      </w:r>
      <w:r w:rsidR="006D200F">
        <w:rPr>
          <w:rStyle w:val="Subtielebenadrukking"/>
          <w:i w:val="0"/>
          <w:color w:val="auto"/>
        </w:rPr>
        <w:t>het signaal en de mogelijke</w:t>
      </w:r>
      <w:r>
        <w:rPr>
          <w:rStyle w:val="Subtielebenadrukking"/>
          <w:i w:val="0"/>
          <w:color w:val="auto"/>
        </w:rPr>
        <w:t xml:space="preserve"> onregelmatigheden, alsmede de aard en de achtergrond ervan. </w:t>
      </w:r>
    </w:p>
    <w:p w14:paraId="4A36BAF3" w14:textId="77777777" w:rsidR="003A2B80" w:rsidRDefault="003A2B80" w:rsidP="00B81049">
      <w:pPr>
        <w:rPr>
          <w:rStyle w:val="Subtielebenadrukking"/>
          <w:i w:val="0"/>
          <w:color w:val="auto"/>
        </w:rPr>
      </w:pPr>
    </w:p>
    <w:p w14:paraId="30AEC76F" w14:textId="77777777" w:rsidR="003A2B80" w:rsidRDefault="003A2B80" w:rsidP="003A2B80">
      <w:pPr>
        <w:pBdr>
          <w:top w:val="single" w:sz="4" w:space="1" w:color="auto"/>
          <w:left w:val="single" w:sz="4" w:space="4" w:color="auto"/>
          <w:bottom w:val="single" w:sz="4" w:space="1" w:color="auto"/>
          <w:right w:val="single" w:sz="4" w:space="4" w:color="auto"/>
        </w:pBdr>
        <w:rPr>
          <w:rStyle w:val="Subtielebenadrukking"/>
          <w:i w:val="0"/>
          <w:color w:val="auto"/>
        </w:rPr>
      </w:pPr>
      <w:r>
        <w:rPr>
          <w:rStyle w:val="Subtielebenadrukking"/>
          <w:i w:val="0"/>
          <w:color w:val="auto"/>
        </w:rPr>
        <w:br/>
      </w:r>
    </w:p>
    <w:p w14:paraId="3C25A7EB" w14:textId="77777777" w:rsidR="003A2B80" w:rsidRDefault="003A2B80" w:rsidP="00B81049">
      <w:pPr>
        <w:rPr>
          <w:rStyle w:val="Subtielebenadrukking"/>
          <w:i w:val="0"/>
          <w:color w:val="auto"/>
        </w:rPr>
      </w:pPr>
    </w:p>
    <w:p w14:paraId="3D2B7272" w14:textId="1C31C56F" w:rsidR="00AD7A28" w:rsidRDefault="00AD7A28" w:rsidP="00AD7A28">
      <w:pPr>
        <w:rPr>
          <w:rStyle w:val="Subtielebenadrukking"/>
          <w:i w:val="0"/>
          <w:color w:val="auto"/>
        </w:rPr>
      </w:pPr>
      <w:r w:rsidRPr="00B81049">
        <w:rPr>
          <w:rStyle w:val="Subtielebenadrukking"/>
          <w:i w:val="0"/>
          <w:color w:val="auto"/>
        </w:rPr>
        <w:t xml:space="preserve">Beschrijf </w:t>
      </w:r>
      <w:r w:rsidR="006D200F">
        <w:rPr>
          <w:rStyle w:val="Subtielebenadrukking"/>
          <w:i w:val="0"/>
          <w:color w:val="auto"/>
        </w:rPr>
        <w:t xml:space="preserve">op welke wijze </w:t>
      </w:r>
      <w:r>
        <w:rPr>
          <w:rStyle w:val="Subtielebenadrukking"/>
          <w:i w:val="0"/>
          <w:color w:val="auto"/>
        </w:rPr>
        <w:t xml:space="preserve">de </w:t>
      </w:r>
      <w:r w:rsidR="006D200F">
        <w:rPr>
          <w:rStyle w:val="Subtielebenadrukking"/>
          <w:i w:val="0"/>
          <w:color w:val="auto"/>
        </w:rPr>
        <w:t>mogelijke</w:t>
      </w:r>
      <w:r>
        <w:rPr>
          <w:rStyle w:val="Subtielebenadrukking"/>
          <w:i w:val="0"/>
          <w:color w:val="auto"/>
        </w:rPr>
        <w:t xml:space="preserve"> onregelmatigheden bekend zijn geworden. Bijvoorbeeld via de uitvoering van onze werkzaamheden, op basis van een klokkenluidermelding, een melding door het management of de met </w:t>
      </w:r>
      <w:proofErr w:type="spellStart"/>
      <w:r>
        <w:rPr>
          <w:rStyle w:val="Subtielebenadrukking"/>
          <w:i w:val="0"/>
          <w:color w:val="auto"/>
        </w:rPr>
        <w:t>governance</w:t>
      </w:r>
      <w:proofErr w:type="spellEnd"/>
      <w:r>
        <w:rPr>
          <w:rStyle w:val="Subtielebenadrukking"/>
          <w:i w:val="0"/>
          <w:color w:val="auto"/>
        </w:rPr>
        <w:t xml:space="preserve"> belaste personen, via externe toezichthouders of overheidsinstanties etc.</w:t>
      </w:r>
    </w:p>
    <w:p w14:paraId="46D24ADE" w14:textId="77777777" w:rsidR="003F48B5" w:rsidRDefault="003F48B5" w:rsidP="00AD7A28">
      <w:pPr>
        <w:rPr>
          <w:rStyle w:val="Subtielebenadrukking"/>
          <w:i w:val="0"/>
          <w:color w:val="auto"/>
        </w:rPr>
      </w:pPr>
    </w:p>
    <w:p w14:paraId="0C8EFD1F" w14:textId="77777777" w:rsidR="003F48B5" w:rsidRDefault="00E07281" w:rsidP="003F48B5">
      <w:pPr>
        <w:pBdr>
          <w:top w:val="single" w:sz="4" w:space="1" w:color="auto"/>
          <w:left w:val="single" w:sz="4" w:space="4" w:color="auto"/>
          <w:bottom w:val="single" w:sz="4" w:space="1" w:color="auto"/>
          <w:right w:val="single" w:sz="4" w:space="4" w:color="auto"/>
        </w:pBdr>
        <w:rPr>
          <w:rStyle w:val="Subtielebenadrukking"/>
          <w:i w:val="0"/>
          <w:color w:val="auto"/>
        </w:rPr>
      </w:pPr>
      <w:r>
        <w:rPr>
          <w:rStyle w:val="Subtielebenadrukking"/>
          <w:i w:val="0"/>
          <w:color w:val="auto"/>
        </w:rPr>
        <w:br/>
      </w:r>
    </w:p>
    <w:p w14:paraId="649132E6" w14:textId="5A94A323" w:rsidR="003F48B5" w:rsidRDefault="003F48B5" w:rsidP="00AD7A28">
      <w:pPr>
        <w:rPr>
          <w:rStyle w:val="Subtielebenadrukking"/>
          <w:i w:val="0"/>
          <w:color w:val="auto"/>
        </w:rPr>
      </w:pPr>
    </w:p>
    <w:p w14:paraId="13436F40" w14:textId="77777777" w:rsidR="003A2EA5" w:rsidRDefault="003A2EA5" w:rsidP="00AD7A28">
      <w:pPr>
        <w:rPr>
          <w:rStyle w:val="Subtielebenadrukking"/>
          <w:i w:val="0"/>
          <w:color w:val="auto"/>
        </w:rPr>
      </w:pPr>
    </w:p>
    <w:p w14:paraId="7BF6CCEA" w14:textId="77777777" w:rsidR="00AD7A28" w:rsidRPr="00CA3006" w:rsidRDefault="00AD7A28" w:rsidP="00AD7A28">
      <w:pPr>
        <w:numPr>
          <w:ilvl w:val="0"/>
          <w:numId w:val="3"/>
        </w:numPr>
        <w:rPr>
          <w:rStyle w:val="Subtielebenadrukking"/>
          <w:b/>
          <w:i w:val="0"/>
        </w:rPr>
      </w:pPr>
      <w:r w:rsidRPr="00CA3006">
        <w:rPr>
          <w:rStyle w:val="Subtielebenadrukking"/>
          <w:b/>
          <w:i w:val="0"/>
        </w:rPr>
        <w:t xml:space="preserve">Vastlegging initiële </w:t>
      </w:r>
      <w:r w:rsidR="00861436" w:rsidRPr="00CA3006">
        <w:rPr>
          <w:rStyle w:val="Subtielebenadrukking"/>
          <w:b/>
          <w:i w:val="0"/>
        </w:rPr>
        <w:t>evaluatie</w:t>
      </w:r>
    </w:p>
    <w:p w14:paraId="46202425" w14:textId="77777777" w:rsidR="00AD7A28" w:rsidRDefault="00AD7A28" w:rsidP="00AD7A28">
      <w:pPr>
        <w:rPr>
          <w:rStyle w:val="Subtielebenadrukking"/>
        </w:rPr>
      </w:pPr>
    </w:p>
    <w:p w14:paraId="60CB0782" w14:textId="6B5B96EB" w:rsidR="00B71A13" w:rsidRDefault="00AD7A28" w:rsidP="00AD7A28">
      <w:r w:rsidRPr="00AD7A28">
        <w:rPr>
          <w:rStyle w:val="Subtielebenadrukking"/>
          <w:i w:val="0"/>
          <w:color w:val="auto"/>
        </w:rPr>
        <w:t xml:space="preserve">De </w:t>
      </w:r>
      <w:r w:rsidR="00435BE8">
        <w:rPr>
          <w:rStyle w:val="Subtielebenadrukking"/>
          <w:i w:val="0"/>
          <w:color w:val="auto"/>
        </w:rPr>
        <w:t>uitkomst</w:t>
      </w:r>
      <w:r>
        <w:rPr>
          <w:rStyle w:val="Subtielebenadrukking"/>
          <w:i w:val="0"/>
          <w:color w:val="auto"/>
        </w:rPr>
        <w:t xml:space="preserve"> van de </w:t>
      </w:r>
      <w:r w:rsidR="003B0599">
        <w:rPr>
          <w:rStyle w:val="Subtielebenadrukking"/>
          <w:i w:val="0"/>
          <w:color w:val="auto"/>
        </w:rPr>
        <w:t>initiële</w:t>
      </w:r>
      <w:r>
        <w:rPr>
          <w:rStyle w:val="Subtielebenadrukking"/>
          <w:i w:val="0"/>
          <w:color w:val="auto"/>
        </w:rPr>
        <w:t xml:space="preserve"> </w:t>
      </w:r>
      <w:r w:rsidR="00861436">
        <w:rPr>
          <w:rStyle w:val="Subtielebenadrukking"/>
          <w:i w:val="0"/>
          <w:color w:val="auto"/>
        </w:rPr>
        <w:t>evaluatie</w:t>
      </w:r>
      <w:r>
        <w:rPr>
          <w:rStyle w:val="Subtielebenadrukking"/>
          <w:i w:val="0"/>
          <w:color w:val="auto"/>
        </w:rPr>
        <w:t xml:space="preserve"> is </w:t>
      </w:r>
      <w:r w:rsidR="00435BE8">
        <w:rPr>
          <w:rStyle w:val="Subtielebenadrukking"/>
          <w:i w:val="0"/>
          <w:color w:val="auto"/>
        </w:rPr>
        <w:t>te bepalen</w:t>
      </w:r>
      <w:r>
        <w:rPr>
          <w:rStyle w:val="Subtielebenadrukking"/>
          <w:i w:val="0"/>
          <w:color w:val="auto"/>
        </w:rPr>
        <w:t xml:space="preserve"> of </w:t>
      </w:r>
      <w:r w:rsidR="00002D90">
        <w:rPr>
          <w:rStyle w:val="Subtielebenadrukking"/>
          <w:i w:val="0"/>
          <w:color w:val="auto"/>
        </w:rPr>
        <w:t>het signaal ook kwalificeert als een aanwijzing van fraude of het overtreden van wet</w:t>
      </w:r>
      <w:r w:rsidR="003C2258">
        <w:rPr>
          <w:rStyle w:val="Subtielebenadrukking"/>
          <w:i w:val="0"/>
          <w:color w:val="auto"/>
        </w:rPr>
        <w:t>-</w:t>
      </w:r>
      <w:r w:rsidR="00002D90">
        <w:rPr>
          <w:rStyle w:val="Subtielebenadrukking"/>
          <w:i w:val="0"/>
          <w:color w:val="auto"/>
        </w:rPr>
        <w:t xml:space="preserve"> en regelgeving in de zin van NV COS </w:t>
      </w:r>
      <w:r w:rsidR="00B71A13">
        <w:rPr>
          <w:rStyle w:val="Subtielebenadrukking"/>
          <w:i w:val="0"/>
          <w:color w:val="auto"/>
        </w:rPr>
        <w:t xml:space="preserve">240 / 250 </w:t>
      </w:r>
      <w:r w:rsidR="00002D90">
        <w:rPr>
          <w:rStyle w:val="Subtielebenadrukking"/>
          <w:i w:val="0"/>
          <w:color w:val="auto"/>
        </w:rPr>
        <w:t xml:space="preserve">en of die aanwijzing </w:t>
      </w:r>
      <w:r>
        <w:rPr>
          <w:rStyle w:val="Subtielebenadrukking"/>
          <w:i w:val="0"/>
          <w:color w:val="auto"/>
        </w:rPr>
        <w:t xml:space="preserve">classificeert als ‘duidelijk </w:t>
      </w:r>
      <w:r w:rsidR="003D3FA9">
        <w:rPr>
          <w:rStyle w:val="Subtielebenadrukking"/>
          <w:i w:val="0"/>
          <w:color w:val="auto"/>
        </w:rPr>
        <w:t>triviaal’</w:t>
      </w:r>
      <w:r w:rsidR="003A2EA5">
        <w:rPr>
          <w:rStyle w:val="Voetnootmarkering"/>
          <w:iCs/>
          <w:sz w:val="20"/>
        </w:rPr>
        <w:footnoteReference w:id="4"/>
      </w:r>
      <w:r w:rsidR="003B0599">
        <w:rPr>
          <w:rStyle w:val="Subtielebenadrukking"/>
          <w:i w:val="0"/>
          <w:color w:val="auto"/>
        </w:rPr>
        <w:t xml:space="preserve"> </w:t>
      </w:r>
      <w:proofErr w:type="spellStart"/>
      <w:r w:rsidR="003B0599">
        <w:rPr>
          <w:rStyle w:val="Subtielebenadrukking"/>
          <w:i w:val="0"/>
          <w:color w:val="auto"/>
        </w:rPr>
        <w:t>danwel</w:t>
      </w:r>
      <w:proofErr w:type="spellEnd"/>
      <w:r w:rsidR="003B0599">
        <w:rPr>
          <w:rStyle w:val="Subtielebenadrukking"/>
          <w:i w:val="0"/>
          <w:color w:val="auto"/>
        </w:rPr>
        <w:t xml:space="preserve"> als ‘meer dan </w:t>
      </w:r>
      <w:r w:rsidR="003D3FA9">
        <w:rPr>
          <w:rStyle w:val="Subtielebenadrukking"/>
          <w:i w:val="0"/>
          <w:color w:val="auto"/>
        </w:rPr>
        <w:t>triviaal</w:t>
      </w:r>
      <w:r w:rsidR="00B71A13">
        <w:rPr>
          <w:rStyle w:val="Subtielebenadrukking"/>
          <w:i w:val="0"/>
          <w:color w:val="auto"/>
        </w:rPr>
        <w:t xml:space="preserve"> </w:t>
      </w:r>
      <w:r w:rsidR="00B71A13">
        <w:t>.</w:t>
      </w:r>
    </w:p>
    <w:p w14:paraId="4A3F51DC" w14:textId="77777777" w:rsidR="00B71A13" w:rsidRDefault="00B71A13" w:rsidP="00AD7A28">
      <w:pPr>
        <w:rPr>
          <w:rStyle w:val="Subtielebenadrukking"/>
          <w:i w:val="0"/>
          <w:color w:val="auto"/>
        </w:rPr>
      </w:pPr>
    </w:p>
    <w:p w14:paraId="5A177216" w14:textId="6B46206C" w:rsidR="00AD7A28" w:rsidRDefault="00435BE8" w:rsidP="00AD7A28">
      <w:pPr>
        <w:rPr>
          <w:rStyle w:val="Subtielebenadrukking"/>
          <w:i w:val="0"/>
          <w:color w:val="auto"/>
        </w:rPr>
      </w:pPr>
      <w:r>
        <w:rPr>
          <w:rStyle w:val="Subtielebenadrukking"/>
          <w:i w:val="0"/>
          <w:color w:val="auto"/>
        </w:rPr>
        <w:t xml:space="preserve">De initiële </w:t>
      </w:r>
      <w:r w:rsidR="00861436">
        <w:rPr>
          <w:rStyle w:val="Subtielebenadrukking"/>
          <w:i w:val="0"/>
          <w:color w:val="auto"/>
        </w:rPr>
        <w:t>evaluatie</w:t>
      </w:r>
      <w:r>
        <w:rPr>
          <w:rStyle w:val="Subtielebenadrukking"/>
          <w:i w:val="0"/>
          <w:color w:val="auto"/>
        </w:rPr>
        <w:t xml:space="preserve"> wordt uitgevoerd op basis van de op dat moment ter beschikking staande gegevens, </w:t>
      </w:r>
      <w:proofErr w:type="spellStart"/>
      <w:r>
        <w:rPr>
          <w:rStyle w:val="Subtielebenadrukking"/>
          <w:i w:val="0"/>
          <w:color w:val="auto"/>
        </w:rPr>
        <w:t>danwel</w:t>
      </w:r>
      <w:proofErr w:type="spellEnd"/>
      <w:r>
        <w:rPr>
          <w:rStyle w:val="Subtielebenadrukking"/>
          <w:i w:val="0"/>
          <w:color w:val="auto"/>
        </w:rPr>
        <w:t xml:space="preserve"> die (aanvullende) informatie die binnen een </w:t>
      </w:r>
      <w:r w:rsidR="008F6D35">
        <w:rPr>
          <w:rStyle w:val="Subtielebenadrukking"/>
          <w:i w:val="0"/>
          <w:color w:val="auto"/>
        </w:rPr>
        <w:t xml:space="preserve">kort </w:t>
      </w:r>
      <w:r>
        <w:rPr>
          <w:rStyle w:val="Subtielebenadrukking"/>
          <w:i w:val="0"/>
          <w:color w:val="auto"/>
        </w:rPr>
        <w:t xml:space="preserve">tijdsbestek na het bekend worden van het signaal kan worden verzameld. </w:t>
      </w:r>
    </w:p>
    <w:p w14:paraId="50809D3E" w14:textId="77777777" w:rsidR="00435BE8" w:rsidRDefault="00435BE8" w:rsidP="00AD7A28">
      <w:pPr>
        <w:rPr>
          <w:rStyle w:val="Subtielebenadrukking"/>
          <w:i w:val="0"/>
          <w:color w:val="auto"/>
        </w:rPr>
      </w:pPr>
    </w:p>
    <w:p w14:paraId="3558C10E" w14:textId="77777777" w:rsidR="00CA3006" w:rsidRDefault="00CA3006">
      <w:pPr>
        <w:rPr>
          <w:rStyle w:val="Subtielebenadrukking"/>
          <w:i w:val="0"/>
          <w:color w:val="auto"/>
        </w:rPr>
      </w:pPr>
      <w:r>
        <w:rPr>
          <w:rStyle w:val="Subtielebenadrukking"/>
          <w:i w:val="0"/>
          <w:color w:val="auto"/>
        </w:rPr>
        <w:br w:type="page"/>
      </w:r>
    </w:p>
    <w:p w14:paraId="711D38E6" w14:textId="2A2700DC" w:rsidR="00435BE8" w:rsidRDefault="00435BE8" w:rsidP="00AD7A28">
      <w:pPr>
        <w:rPr>
          <w:rStyle w:val="Subtielebenadrukking"/>
          <w:i w:val="0"/>
          <w:color w:val="auto"/>
        </w:rPr>
      </w:pPr>
      <w:r>
        <w:rPr>
          <w:rStyle w:val="Subtielebenadrukking"/>
          <w:i w:val="0"/>
          <w:color w:val="auto"/>
        </w:rPr>
        <w:lastRenderedPageBreak/>
        <w:t xml:space="preserve">Bij de beschrijving en evaluatie van het signaal ten behoeve van de initiële </w:t>
      </w:r>
      <w:r w:rsidR="00861436">
        <w:rPr>
          <w:rStyle w:val="Subtielebenadrukking"/>
          <w:i w:val="0"/>
          <w:color w:val="auto"/>
        </w:rPr>
        <w:t>evaluatie</w:t>
      </w:r>
      <w:r>
        <w:rPr>
          <w:rStyle w:val="Subtielebenadrukking"/>
          <w:i w:val="0"/>
          <w:color w:val="auto"/>
        </w:rPr>
        <w:t xml:space="preserve">, worden in ieder geval </w:t>
      </w:r>
      <w:r w:rsidR="00CA3006">
        <w:rPr>
          <w:rStyle w:val="Subtielebenadrukking"/>
          <w:i w:val="0"/>
          <w:color w:val="auto"/>
        </w:rPr>
        <w:t>de volgende aspecten betrokken:</w:t>
      </w:r>
    </w:p>
    <w:p w14:paraId="2FF9870F" w14:textId="77777777" w:rsidR="00435BE8" w:rsidRDefault="00435BE8" w:rsidP="00435BE8">
      <w:pPr>
        <w:numPr>
          <w:ilvl w:val="0"/>
          <w:numId w:val="4"/>
        </w:numPr>
        <w:rPr>
          <w:rStyle w:val="Subtielebenadrukking"/>
          <w:i w:val="0"/>
          <w:color w:val="auto"/>
        </w:rPr>
      </w:pPr>
      <w:r>
        <w:rPr>
          <w:rStyle w:val="Subtielebenadrukking"/>
          <w:i w:val="0"/>
          <w:color w:val="auto"/>
        </w:rPr>
        <w:t>De casus heeft wel/geen relevantie voor de opdracht, omdat …</w:t>
      </w:r>
    </w:p>
    <w:p w14:paraId="12BF05A5" w14:textId="77777777" w:rsidR="003D3FA9" w:rsidRDefault="003D3FA9" w:rsidP="00435BE8">
      <w:pPr>
        <w:numPr>
          <w:ilvl w:val="0"/>
          <w:numId w:val="4"/>
        </w:numPr>
        <w:rPr>
          <w:rStyle w:val="Subtielebenadrukking"/>
          <w:i w:val="0"/>
          <w:color w:val="auto"/>
        </w:rPr>
      </w:pPr>
      <w:r>
        <w:rPr>
          <w:rStyle w:val="Subtielebenadrukking"/>
          <w:i w:val="0"/>
          <w:color w:val="auto"/>
        </w:rPr>
        <w:t>De casus heeft wel/niet het karakter van een groter/terugkerende situatie in plaats van een losstaand incident, omdat …</w:t>
      </w:r>
    </w:p>
    <w:p w14:paraId="45485173" w14:textId="77777777" w:rsidR="00435BE8" w:rsidRDefault="00435BE8" w:rsidP="00435BE8">
      <w:pPr>
        <w:numPr>
          <w:ilvl w:val="0"/>
          <w:numId w:val="4"/>
        </w:numPr>
        <w:rPr>
          <w:rStyle w:val="Subtielebenadrukking"/>
          <w:i w:val="0"/>
          <w:color w:val="auto"/>
        </w:rPr>
      </w:pPr>
      <w:r>
        <w:rPr>
          <w:rStyle w:val="Subtielebenadrukking"/>
          <w:i w:val="0"/>
          <w:color w:val="auto"/>
        </w:rPr>
        <w:t>De aantijgingen van de klokkenluider (indien van toepassing) lijken wel/niet geloofwaardig, omdat …</w:t>
      </w:r>
    </w:p>
    <w:p w14:paraId="02697FB3" w14:textId="77777777" w:rsidR="00435BE8" w:rsidRDefault="003F48B5" w:rsidP="003F48B5">
      <w:pPr>
        <w:numPr>
          <w:ilvl w:val="0"/>
          <w:numId w:val="4"/>
        </w:numPr>
        <w:rPr>
          <w:rStyle w:val="Subtielebenadrukking"/>
          <w:i w:val="0"/>
          <w:color w:val="auto"/>
        </w:rPr>
      </w:pPr>
      <w:r>
        <w:rPr>
          <w:rStyle w:val="Subtielebenadrukking"/>
          <w:i w:val="0"/>
          <w:color w:val="auto"/>
        </w:rPr>
        <w:t>De casus heeft wel</w:t>
      </w:r>
      <w:r w:rsidR="003D3FA9">
        <w:rPr>
          <w:rStyle w:val="Subtielebenadrukking"/>
          <w:i w:val="0"/>
          <w:color w:val="auto"/>
        </w:rPr>
        <w:t>/geen potentie om een meer dan triviaal</w:t>
      </w:r>
      <w:r>
        <w:rPr>
          <w:rStyle w:val="Subtielebenadrukking"/>
          <w:i w:val="0"/>
          <w:color w:val="auto"/>
        </w:rPr>
        <w:t xml:space="preserve"> effect te hebben op </w:t>
      </w:r>
      <w:r w:rsidRPr="00A126A9">
        <w:rPr>
          <w:rStyle w:val="Subtielebenadrukking"/>
          <w:i w:val="0"/>
          <w:color w:val="auto"/>
        </w:rPr>
        <w:t>de financiële overzichten</w:t>
      </w:r>
      <w:r>
        <w:rPr>
          <w:rStyle w:val="Voetnootmarkering"/>
          <w:iCs/>
          <w:sz w:val="20"/>
        </w:rPr>
        <w:footnoteReference w:id="5"/>
      </w:r>
      <w:r>
        <w:rPr>
          <w:rStyle w:val="Subtielebenadrukking"/>
          <w:i w:val="0"/>
          <w:color w:val="auto"/>
        </w:rPr>
        <w:t>, omdat …</w:t>
      </w:r>
    </w:p>
    <w:p w14:paraId="24549E1E" w14:textId="77777777" w:rsidR="003F48B5" w:rsidRDefault="003F48B5" w:rsidP="003F48B5">
      <w:pPr>
        <w:numPr>
          <w:ilvl w:val="0"/>
          <w:numId w:val="4"/>
        </w:numPr>
        <w:rPr>
          <w:rStyle w:val="Subtielebenadrukking"/>
          <w:i w:val="0"/>
          <w:color w:val="auto"/>
        </w:rPr>
      </w:pPr>
      <w:r>
        <w:rPr>
          <w:rStyle w:val="Subtielebenadrukking"/>
          <w:i w:val="0"/>
          <w:color w:val="auto"/>
        </w:rPr>
        <w:t>De casus roept wel/geen vragen op over de integriteit van het management</w:t>
      </w:r>
      <w:r>
        <w:rPr>
          <w:rStyle w:val="Voetnootmarkering"/>
          <w:iCs/>
          <w:sz w:val="20"/>
        </w:rPr>
        <w:footnoteReference w:id="6"/>
      </w:r>
      <w:r>
        <w:rPr>
          <w:rStyle w:val="Subtielebenadrukking"/>
          <w:i w:val="0"/>
          <w:color w:val="auto"/>
        </w:rPr>
        <w:t>, omdat …</w:t>
      </w:r>
    </w:p>
    <w:p w14:paraId="5D429F32" w14:textId="7E731D51" w:rsidR="00A126A9" w:rsidRDefault="00A126A9" w:rsidP="00AD7A28">
      <w:pPr>
        <w:rPr>
          <w:rStyle w:val="Subtielebenadrukking"/>
          <w:i w:val="0"/>
          <w:color w:val="auto"/>
        </w:rPr>
      </w:pPr>
    </w:p>
    <w:p w14:paraId="2138AFB4" w14:textId="6ADF686B" w:rsidR="00CA3006" w:rsidRDefault="00CA3006" w:rsidP="00AD7A28">
      <w:pPr>
        <w:rPr>
          <w:rStyle w:val="Subtielebenadrukking"/>
          <w:i w:val="0"/>
          <w:color w:val="auto"/>
        </w:rPr>
      </w:pPr>
      <w:r>
        <w:rPr>
          <w:rStyle w:val="Subtielebenadrukking"/>
          <w:i w:val="0"/>
          <w:color w:val="auto"/>
        </w:rPr>
        <w:t>Leg p</w:t>
      </w:r>
      <w:r>
        <w:rPr>
          <w:rStyle w:val="Subtielebenadrukking"/>
          <w:i w:val="0"/>
          <w:color w:val="auto"/>
        </w:rPr>
        <w:t>er aspect ook de overwegingen v</w:t>
      </w:r>
      <w:r>
        <w:rPr>
          <w:rStyle w:val="Subtielebenadrukking"/>
          <w:i w:val="0"/>
          <w:color w:val="auto"/>
        </w:rPr>
        <w:t>ast</w:t>
      </w:r>
      <w:r>
        <w:rPr>
          <w:rStyle w:val="Subtielebenadrukking"/>
          <w:i w:val="0"/>
          <w:color w:val="auto"/>
        </w:rPr>
        <w:t xml:space="preserve"> die een rol spelen bij de evaluatie.</w:t>
      </w:r>
    </w:p>
    <w:p w14:paraId="28967A4D" w14:textId="77777777" w:rsidR="00CA3006" w:rsidRDefault="00CA3006" w:rsidP="00AD7A28">
      <w:pPr>
        <w:rPr>
          <w:rStyle w:val="Subtielebenadrukking"/>
          <w:i w:val="0"/>
          <w:color w:val="auto"/>
        </w:rPr>
      </w:pPr>
    </w:p>
    <w:p w14:paraId="5FE217C8" w14:textId="77777777" w:rsidR="003F48B5" w:rsidRDefault="00E07281" w:rsidP="003F48B5">
      <w:pPr>
        <w:pBdr>
          <w:top w:val="single" w:sz="4" w:space="1" w:color="auto"/>
          <w:left w:val="single" w:sz="4" w:space="4" w:color="auto"/>
          <w:bottom w:val="single" w:sz="4" w:space="1" w:color="auto"/>
          <w:right w:val="single" w:sz="4" w:space="4" w:color="auto"/>
        </w:pBdr>
        <w:rPr>
          <w:rStyle w:val="Subtielebenadrukking"/>
          <w:i w:val="0"/>
          <w:color w:val="auto"/>
        </w:rPr>
      </w:pPr>
      <w:r>
        <w:rPr>
          <w:rStyle w:val="Subtielebenadrukking"/>
          <w:i w:val="0"/>
          <w:color w:val="auto"/>
        </w:rPr>
        <w:br/>
      </w:r>
    </w:p>
    <w:p w14:paraId="7FB72C98" w14:textId="74EF4A86" w:rsidR="00A126A9" w:rsidRDefault="00A126A9" w:rsidP="00AD7A28">
      <w:pPr>
        <w:rPr>
          <w:rStyle w:val="Subtielebenadrukking"/>
          <w:i w:val="0"/>
          <w:color w:val="auto"/>
        </w:rPr>
      </w:pPr>
    </w:p>
    <w:p w14:paraId="1B0ADDEF" w14:textId="77777777" w:rsidR="003A2EA5" w:rsidRDefault="003A2EA5" w:rsidP="00AD7A28">
      <w:pPr>
        <w:rPr>
          <w:rStyle w:val="Subtielebenadrukking"/>
          <w:i w:val="0"/>
          <w:color w:val="auto"/>
        </w:rPr>
      </w:pPr>
    </w:p>
    <w:p w14:paraId="3136B45D" w14:textId="77777777" w:rsidR="006C43AB" w:rsidRPr="00CA3006" w:rsidRDefault="006C43AB" w:rsidP="00E07281">
      <w:pPr>
        <w:numPr>
          <w:ilvl w:val="0"/>
          <w:numId w:val="3"/>
        </w:numPr>
        <w:rPr>
          <w:rStyle w:val="Subtielebenadrukking"/>
          <w:b/>
          <w:i w:val="0"/>
        </w:rPr>
      </w:pPr>
      <w:r w:rsidRPr="00CA3006">
        <w:rPr>
          <w:rStyle w:val="Subtielebenadrukking"/>
          <w:b/>
          <w:i w:val="0"/>
        </w:rPr>
        <w:t>I</w:t>
      </w:r>
      <w:r w:rsidR="00E07281" w:rsidRPr="00CA3006">
        <w:rPr>
          <w:rStyle w:val="Subtielebenadrukking"/>
          <w:b/>
          <w:i w:val="0"/>
        </w:rPr>
        <w:t xml:space="preserve">nitiële </w:t>
      </w:r>
      <w:r w:rsidR="00861436" w:rsidRPr="00CA3006">
        <w:rPr>
          <w:rStyle w:val="Subtielebenadrukking"/>
          <w:b/>
          <w:i w:val="0"/>
        </w:rPr>
        <w:t>evaluatie</w:t>
      </w:r>
      <w:r w:rsidRPr="00CA3006">
        <w:rPr>
          <w:rStyle w:val="Subtielebenadrukking"/>
          <w:b/>
          <w:i w:val="0"/>
        </w:rPr>
        <w:t xml:space="preserve"> meldplichten</w:t>
      </w:r>
    </w:p>
    <w:p w14:paraId="1AB2120E" w14:textId="77777777" w:rsidR="006C43AB" w:rsidRDefault="006C43AB" w:rsidP="006C43AB">
      <w:pPr>
        <w:rPr>
          <w:rStyle w:val="Subtielebenadrukking"/>
        </w:rPr>
      </w:pPr>
    </w:p>
    <w:p w14:paraId="3C6B5464" w14:textId="77777777" w:rsidR="005A3BE4" w:rsidRDefault="006C43AB" w:rsidP="008F6D35">
      <w:pPr>
        <w:rPr>
          <w:rStyle w:val="Subtielebenadrukking"/>
          <w:i w:val="0"/>
          <w:color w:val="auto"/>
        </w:rPr>
      </w:pPr>
      <w:r>
        <w:rPr>
          <w:rStyle w:val="Subtielebenadrukking"/>
          <w:i w:val="0"/>
          <w:color w:val="auto"/>
        </w:rPr>
        <w:t xml:space="preserve">De initiële </w:t>
      </w:r>
      <w:r w:rsidR="00861436">
        <w:rPr>
          <w:rStyle w:val="Subtielebenadrukking"/>
          <w:i w:val="0"/>
          <w:color w:val="auto"/>
        </w:rPr>
        <w:t>evaluatie</w:t>
      </w:r>
      <w:r>
        <w:rPr>
          <w:rStyle w:val="Subtielebenadrukking"/>
          <w:i w:val="0"/>
          <w:color w:val="auto"/>
        </w:rPr>
        <w:t xml:space="preserve"> van het signaal </w:t>
      </w:r>
      <w:r w:rsidR="006D200F">
        <w:rPr>
          <w:rStyle w:val="Subtielebenadrukking"/>
          <w:i w:val="0"/>
          <w:color w:val="auto"/>
        </w:rPr>
        <w:t>voor</w:t>
      </w:r>
      <w:r>
        <w:rPr>
          <w:rStyle w:val="Subtielebenadrukking"/>
          <w:i w:val="0"/>
          <w:color w:val="auto"/>
        </w:rPr>
        <w:t xml:space="preserve"> fraude of overtreding wet- en regelgeving stelt de accountant tevens in staat om tijdig een initiële </w:t>
      </w:r>
      <w:r w:rsidR="00861436">
        <w:rPr>
          <w:rStyle w:val="Subtielebenadrukking"/>
          <w:i w:val="0"/>
          <w:color w:val="auto"/>
        </w:rPr>
        <w:t>evaluatie</w:t>
      </w:r>
      <w:r>
        <w:rPr>
          <w:rStyle w:val="Subtielebenadrukking"/>
          <w:i w:val="0"/>
          <w:color w:val="auto"/>
        </w:rPr>
        <w:t xml:space="preserve"> uit te voeren of er mogelijk een meldplicht bij externe instanties bestaat. Sommige meldplichten vereisen namelijk onverwijlde of onmiddellijke actie. Dat geldt specifiek voor de meldplicht uit hoofde van een ongebruikelijke transactie voor de Wwft en een incidentmelding bij de AFM in geval van een wettelijke controle. </w:t>
      </w:r>
    </w:p>
    <w:p w14:paraId="7C9147BB" w14:textId="77777777" w:rsidR="008F6D35" w:rsidRDefault="008F6D35" w:rsidP="008F6D35">
      <w:pPr>
        <w:rPr>
          <w:rStyle w:val="Subtielebenadrukking"/>
          <w:i w:val="0"/>
          <w:color w:val="auto"/>
        </w:rPr>
      </w:pPr>
    </w:p>
    <w:p w14:paraId="6C79D51B" w14:textId="058F0285" w:rsidR="008F6D35" w:rsidRDefault="008F6D35" w:rsidP="008F6D35">
      <w:pPr>
        <w:rPr>
          <w:rStyle w:val="Subtielebenadrukking"/>
          <w:i w:val="0"/>
          <w:color w:val="auto"/>
        </w:rPr>
      </w:pPr>
      <w:r>
        <w:rPr>
          <w:rStyle w:val="Subtielebenadrukking"/>
          <w:i w:val="0"/>
          <w:color w:val="auto"/>
        </w:rPr>
        <w:t>Het ‘</w:t>
      </w:r>
      <w:r w:rsidRPr="008F6D35">
        <w:rPr>
          <w:rStyle w:val="Subtielebenadrukking"/>
          <w:color w:val="auto"/>
          <w:u w:val="single"/>
        </w:rPr>
        <w:t>schema meldplichten’</w:t>
      </w:r>
      <w:r>
        <w:rPr>
          <w:rStyle w:val="Subtielebenadrukking"/>
          <w:i w:val="0"/>
          <w:color w:val="auto"/>
        </w:rPr>
        <w:t xml:space="preserve"> biedt ondersteuning bij de </w:t>
      </w:r>
      <w:r w:rsidR="00861436">
        <w:rPr>
          <w:rStyle w:val="Subtielebenadrukking"/>
          <w:i w:val="0"/>
          <w:color w:val="auto"/>
        </w:rPr>
        <w:t>evaluatie</w:t>
      </w:r>
      <w:r>
        <w:rPr>
          <w:rStyle w:val="Subtielebenadrukking"/>
          <w:i w:val="0"/>
          <w:color w:val="auto"/>
        </w:rPr>
        <w:t xml:space="preserve"> of een of meerdere meldplichten aan de orde zijn</w:t>
      </w:r>
      <w:r w:rsidR="00B71A13">
        <w:rPr>
          <w:rStyle w:val="Subtielebenadrukking"/>
          <w:i w:val="0"/>
          <w:color w:val="auto"/>
        </w:rPr>
        <w:t>.</w:t>
      </w:r>
    </w:p>
    <w:p w14:paraId="5A605725" w14:textId="322FCFBD" w:rsidR="00B71A13" w:rsidRDefault="00B71A13" w:rsidP="008F6D35">
      <w:pPr>
        <w:rPr>
          <w:rStyle w:val="Subtielebenadrukking"/>
          <w:i w:val="0"/>
          <w:color w:val="auto"/>
        </w:rPr>
      </w:pPr>
    </w:p>
    <w:p w14:paraId="7D9184A2" w14:textId="1914855E" w:rsidR="00E07281" w:rsidRDefault="005A3BE4" w:rsidP="006C43AB">
      <w:pPr>
        <w:rPr>
          <w:rStyle w:val="Subtielebenadrukking"/>
          <w:color w:val="auto"/>
        </w:rPr>
      </w:pPr>
      <w:r w:rsidRPr="005A3BE4">
        <w:rPr>
          <w:rStyle w:val="Subtielebenadrukking"/>
          <w:i w:val="0"/>
          <w:color w:val="auto"/>
        </w:rPr>
        <w:t xml:space="preserve">Gedurende </w:t>
      </w:r>
      <w:r>
        <w:rPr>
          <w:rStyle w:val="Subtielebenadrukking"/>
          <w:i w:val="0"/>
          <w:color w:val="auto"/>
        </w:rPr>
        <w:t xml:space="preserve">de uitvoering van de (aanvullende) werkzaamheden, </w:t>
      </w:r>
      <w:proofErr w:type="spellStart"/>
      <w:r>
        <w:rPr>
          <w:rStyle w:val="Subtielebenadrukking"/>
          <w:i w:val="0"/>
          <w:color w:val="auto"/>
        </w:rPr>
        <w:t>danwel</w:t>
      </w:r>
      <w:proofErr w:type="spellEnd"/>
      <w:r>
        <w:rPr>
          <w:rStyle w:val="Subtielebenadrukking"/>
          <w:i w:val="0"/>
          <w:color w:val="auto"/>
        </w:rPr>
        <w:t xml:space="preserve"> het onderzoek door de cliënt zal de accountant meer informatie </w:t>
      </w:r>
      <w:r w:rsidR="00B71A13">
        <w:rPr>
          <w:rStyle w:val="Subtielebenadrukking"/>
          <w:i w:val="0"/>
          <w:color w:val="auto"/>
        </w:rPr>
        <w:t>ver</w:t>
      </w:r>
      <w:r>
        <w:rPr>
          <w:rStyle w:val="Subtielebenadrukking"/>
          <w:i w:val="0"/>
          <w:color w:val="auto"/>
        </w:rPr>
        <w:t xml:space="preserve">krijgen over de specifieke omstandigheden. De accountant zal op basis daarvan de afwegingen </w:t>
      </w:r>
      <w:r w:rsidR="00B71A13">
        <w:rPr>
          <w:rStyle w:val="Subtielebenadrukking"/>
          <w:i w:val="0"/>
          <w:color w:val="auto"/>
        </w:rPr>
        <w:t>in relatie tot</w:t>
      </w:r>
      <w:r>
        <w:rPr>
          <w:rStyle w:val="Subtielebenadrukking"/>
          <w:i w:val="0"/>
          <w:color w:val="auto"/>
        </w:rPr>
        <w:t xml:space="preserve"> deze en andere meldplichten continu moeten evalueren en conclusies zo nodig bijstellen.</w:t>
      </w:r>
      <w:r w:rsidR="006C43AB" w:rsidRPr="005A3BE4">
        <w:rPr>
          <w:rStyle w:val="Subtielebenadrukking"/>
          <w:color w:val="auto"/>
        </w:rPr>
        <w:br/>
      </w:r>
    </w:p>
    <w:p w14:paraId="434D2B42" w14:textId="77777777" w:rsidR="003A2EA5" w:rsidRPr="005A3BE4" w:rsidRDefault="003A2EA5" w:rsidP="006C43AB">
      <w:pPr>
        <w:rPr>
          <w:rStyle w:val="Subtielebenadrukking"/>
          <w:color w:val="auto"/>
        </w:rPr>
      </w:pPr>
    </w:p>
    <w:p w14:paraId="529A23E6" w14:textId="77777777" w:rsidR="006C43AB" w:rsidRPr="00CA3006" w:rsidRDefault="006C43AB" w:rsidP="00E07281">
      <w:pPr>
        <w:numPr>
          <w:ilvl w:val="0"/>
          <w:numId w:val="3"/>
        </w:numPr>
        <w:rPr>
          <w:rStyle w:val="Subtielebenadrukking"/>
          <w:b/>
          <w:i w:val="0"/>
        </w:rPr>
      </w:pPr>
      <w:r w:rsidRPr="00CA3006">
        <w:rPr>
          <w:rStyle w:val="Subtielebenadrukking"/>
          <w:b/>
          <w:i w:val="0"/>
        </w:rPr>
        <w:t xml:space="preserve">Conclusies initiële </w:t>
      </w:r>
      <w:r w:rsidR="00861436" w:rsidRPr="00CA3006">
        <w:rPr>
          <w:rStyle w:val="Subtielebenadrukking"/>
          <w:b/>
          <w:i w:val="0"/>
        </w:rPr>
        <w:t>evaluatie</w:t>
      </w:r>
    </w:p>
    <w:p w14:paraId="7E6021DE" w14:textId="77777777" w:rsidR="00E07281" w:rsidRDefault="00E07281" w:rsidP="00E07281">
      <w:pPr>
        <w:rPr>
          <w:rStyle w:val="Subtielebenadrukking"/>
          <w:i w:val="0"/>
          <w:color w:val="auto"/>
        </w:rPr>
      </w:pPr>
    </w:p>
    <w:p w14:paraId="49003064" w14:textId="538485D2" w:rsidR="009F354F" w:rsidRDefault="009F354F" w:rsidP="00E07281">
      <w:pPr>
        <w:rPr>
          <w:rStyle w:val="Subtielebenadrukking"/>
          <w:i w:val="0"/>
          <w:color w:val="auto"/>
        </w:rPr>
      </w:pPr>
      <w:r>
        <w:rPr>
          <w:rStyle w:val="Subtielebenadrukking"/>
          <w:i w:val="0"/>
          <w:color w:val="auto"/>
        </w:rPr>
        <w:t xml:space="preserve">Op grond van de initiële </w:t>
      </w:r>
      <w:r w:rsidR="00861436">
        <w:rPr>
          <w:rStyle w:val="Subtielebenadrukking"/>
          <w:i w:val="0"/>
          <w:color w:val="auto"/>
        </w:rPr>
        <w:t>evaluatie</w:t>
      </w:r>
      <w:r>
        <w:rPr>
          <w:rStyle w:val="Subtielebenadrukking"/>
          <w:i w:val="0"/>
          <w:color w:val="auto"/>
        </w:rPr>
        <w:t xml:space="preserve"> kwalificeren wij de casus als:</w:t>
      </w:r>
    </w:p>
    <w:p w14:paraId="274D5827" w14:textId="1A37D9B5" w:rsidR="009F354F" w:rsidRDefault="009F354F" w:rsidP="009F354F">
      <w:pPr>
        <w:numPr>
          <w:ilvl w:val="0"/>
          <w:numId w:val="7"/>
        </w:numPr>
        <w:rPr>
          <w:rStyle w:val="Subtielebenadrukking"/>
          <w:i w:val="0"/>
          <w:color w:val="auto"/>
        </w:rPr>
      </w:pPr>
      <w:r>
        <w:rPr>
          <w:rStyle w:val="Subtielebenadrukking"/>
          <w:i w:val="0"/>
          <w:color w:val="auto"/>
        </w:rPr>
        <w:t xml:space="preserve">Meer dan </w:t>
      </w:r>
      <w:r w:rsidR="00022B2B">
        <w:rPr>
          <w:rStyle w:val="Subtielebenadrukking"/>
          <w:i w:val="0"/>
          <w:color w:val="auto"/>
        </w:rPr>
        <w:t>triviaal</w:t>
      </w:r>
      <w:r w:rsidR="00CA3006">
        <w:rPr>
          <w:rStyle w:val="Subtielebenadrukking"/>
          <w:i w:val="0"/>
          <w:color w:val="auto"/>
        </w:rPr>
        <w:t xml:space="preserve"> / </w:t>
      </w:r>
      <w:r w:rsidR="001D7C1D">
        <w:rPr>
          <w:rStyle w:val="Subtielebenadrukking"/>
          <w:i w:val="0"/>
          <w:color w:val="auto"/>
        </w:rPr>
        <w:t xml:space="preserve"> – Aanwijzing voor fraude </w:t>
      </w:r>
    </w:p>
    <w:p w14:paraId="5D3B9241" w14:textId="287F65C8" w:rsidR="00E07281" w:rsidRDefault="009F354F" w:rsidP="00E07281">
      <w:pPr>
        <w:numPr>
          <w:ilvl w:val="0"/>
          <w:numId w:val="7"/>
        </w:numPr>
        <w:rPr>
          <w:rStyle w:val="Subtielebenadrukking"/>
          <w:i w:val="0"/>
          <w:color w:val="auto"/>
        </w:rPr>
      </w:pPr>
      <w:r>
        <w:rPr>
          <w:rStyle w:val="Subtielebenadrukking"/>
          <w:i w:val="0"/>
          <w:color w:val="auto"/>
        </w:rPr>
        <w:t xml:space="preserve">Duidelijk </w:t>
      </w:r>
      <w:r w:rsidR="00022B2B">
        <w:rPr>
          <w:rStyle w:val="Subtielebenadrukking"/>
          <w:i w:val="0"/>
          <w:color w:val="auto"/>
        </w:rPr>
        <w:t>triviaal</w:t>
      </w:r>
      <w:r w:rsidR="00CA3006">
        <w:rPr>
          <w:rStyle w:val="Subtielebenadrukking"/>
          <w:i w:val="0"/>
          <w:color w:val="auto"/>
        </w:rPr>
        <w:t xml:space="preserve"> / onbeduidend</w:t>
      </w:r>
      <w:r w:rsidR="00A75D40">
        <w:rPr>
          <w:rStyle w:val="Voetnootmarkering"/>
          <w:iCs/>
          <w:sz w:val="20"/>
        </w:rPr>
        <w:footnoteReference w:id="7"/>
      </w:r>
    </w:p>
    <w:p w14:paraId="62A475EF" w14:textId="77777777" w:rsidR="003A2EA5" w:rsidRDefault="003A2EA5" w:rsidP="003A2EA5">
      <w:pPr>
        <w:rPr>
          <w:rStyle w:val="Subtielebenadrukking"/>
          <w:i w:val="0"/>
          <w:color w:val="auto"/>
        </w:rPr>
      </w:pPr>
    </w:p>
    <w:p w14:paraId="5C88B0D2" w14:textId="77777777" w:rsidR="003A2EA5" w:rsidRDefault="003A2EA5">
      <w:pPr>
        <w:rPr>
          <w:rStyle w:val="Subtielebenadrukking"/>
          <w:i w:val="0"/>
          <w:color w:val="auto"/>
        </w:rPr>
      </w:pPr>
      <w:r>
        <w:rPr>
          <w:rStyle w:val="Subtielebenadrukking"/>
          <w:i w:val="0"/>
          <w:color w:val="auto"/>
        </w:rPr>
        <w:br w:type="page"/>
      </w:r>
    </w:p>
    <w:p w14:paraId="5166A965" w14:textId="77777777" w:rsidR="009F354F" w:rsidRDefault="009F354F" w:rsidP="00E07281">
      <w:pPr>
        <w:rPr>
          <w:rStyle w:val="Subtielebenadrukking"/>
          <w:i w:val="0"/>
          <w:color w:val="auto"/>
        </w:rPr>
      </w:pPr>
    </w:p>
    <w:p w14:paraId="6A7D631A" w14:textId="77777777" w:rsidR="009F354F" w:rsidRPr="005251A6" w:rsidRDefault="009F354F" w:rsidP="009F354F">
      <w:pPr>
        <w:numPr>
          <w:ilvl w:val="0"/>
          <w:numId w:val="3"/>
        </w:numPr>
        <w:rPr>
          <w:rStyle w:val="Subtielebenadrukking"/>
          <w:b/>
          <w:i w:val="0"/>
        </w:rPr>
      </w:pPr>
      <w:r w:rsidRPr="005251A6">
        <w:rPr>
          <w:rStyle w:val="Subtielebenadrukking"/>
          <w:b/>
          <w:i w:val="0"/>
        </w:rPr>
        <w:t xml:space="preserve">Vervolgstappen </w:t>
      </w:r>
    </w:p>
    <w:p w14:paraId="674FCD5C" w14:textId="77777777" w:rsidR="009F354F" w:rsidRDefault="009F354F" w:rsidP="009F354F">
      <w:pPr>
        <w:rPr>
          <w:rStyle w:val="Subtielebenadrukking"/>
        </w:rPr>
      </w:pPr>
    </w:p>
    <w:p w14:paraId="106A50C6" w14:textId="39CF77A8" w:rsidR="003A2EA5" w:rsidRPr="003A2EA5" w:rsidRDefault="003A2EA5" w:rsidP="003A2EA5">
      <w:pPr>
        <w:rPr>
          <w:rStyle w:val="Subtielebenadrukking"/>
          <w:color w:val="auto"/>
        </w:rPr>
      </w:pPr>
      <w:r>
        <w:rPr>
          <w:rStyle w:val="Subtielebenadrukking"/>
          <w:color w:val="auto"/>
        </w:rPr>
        <w:t>‘</w:t>
      </w:r>
      <w:r w:rsidRPr="003A2EA5">
        <w:rPr>
          <w:rStyle w:val="Subtielebenadrukking"/>
          <w:color w:val="auto"/>
        </w:rPr>
        <w:t>Niet tri</w:t>
      </w:r>
      <w:r>
        <w:rPr>
          <w:rStyle w:val="Subtielebenadrukking"/>
          <w:color w:val="auto"/>
        </w:rPr>
        <w:t>viaal’</w:t>
      </w:r>
    </w:p>
    <w:p w14:paraId="6BB35A98" w14:textId="007E82BE" w:rsidR="003A2EA5" w:rsidRDefault="003A2EA5" w:rsidP="003A2EA5">
      <w:pPr>
        <w:rPr>
          <w:rStyle w:val="Subtielebenadrukking"/>
          <w:i w:val="0"/>
          <w:color w:val="auto"/>
        </w:rPr>
      </w:pPr>
      <w:r>
        <w:rPr>
          <w:rStyle w:val="Subtielebenadrukking"/>
          <w:i w:val="0"/>
          <w:color w:val="auto"/>
        </w:rPr>
        <w:t xml:space="preserve">Indien de uitkomst van de initiële evaluatie ‘duidelijk triviaal is, dan wordt deze evaluatie vastgelegd in het dossier. </w:t>
      </w:r>
    </w:p>
    <w:p w14:paraId="7457C838" w14:textId="77777777" w:rsidR="003A2EA5" w:rsidRDefault="003A2EA5" w:rsidP="003A2EA5">
      <w:pPr>
        <w:rPr>
          <w:rStyle w:val="Subtielebenadrukking"/>
          <w:i w:val="0"/>
          <w:color w:val="auto"/>
        </w:rPr>
      </w:pPr>
    </w:p>
    <w:p w14:paraId="6F1437AA" w14:textId="6838F246" w:rsidR="003A2EA5" w:rsidRDefault="003A2EA5" w:rsidP="003A2EA5">
      <w:pPr>
        <w:rPr>
          <w:rStyle w:val="Subtielebenadrukking"/>
          <w:i w:val="0"/>
          <w:color w:val="auto"/>
        </w:rPr>
      </w:pPr>
      <w:r w:rsidRPr="000D1C8B">
        <w:rPr>
          <w:rStyle w:val="Subtielebenadrukking"/>
          <w:i w:val="0"/>
          <w:color w:val="auto"/>
        </w:rPr>
        <w:t xml:space="preserve">Een niet-naleving die duidelijk </w:t>
      </w:r>
      <w:r>
        <w:rPr>
          <w:rStyle w:val="Subtielebenadrukking"/>
          <w:i w:val="0"/>
          <w:color w:val="auto"/>
        </w:rPr>
        <w:t>triviaal</w:t>
      </w:r>
      <w:r w:rsidRPr="000D1C8B">
        <w:rPr>
          <w:rStyle w:val="Subtielebenadrukking"/>
          <w:i w:val="0"/>
          <w:color w:val="auto"/>
        </w:rPr>
        <w:t xml:space="preserve"> is stelt weinig voor, gezien haar aard en gevolgen voor </w:t>
      </w:r>
      <w:r>
        <w:rPr>
          <w:rStyle w:val="Subtielebenadrukking"/>
          <w:i w:val="0"/>
          <w:color w:val="auto"/>
        </w:rPr>
        <w:t>de cliënt</w:t>
      </w:r>
      <w:r w:rsidRPr="000D1C8B">
        <w:rPr>
          <w:rStyle w:val="Subtielebenadrukking"/>
          <w:i w:val="0"/>
          <w:color w:val="auto"/>
        </w:rPr>
        <w:t xml:space="preserve">. Een niet-naleving die duidelijk </w:t>
      </w:r>
      <w:r>
        <w:rPr>
          <w:rStyle w:val="Subtielebenadrukking"/>
          <w:i w:val="0"/>
          <w:color w:val="auto"/>
        </w:rPr>
        <w:t>triviaal</w:t>
      </w:r>
      <w:r w:rsidRPr="000D1C8B">
        <w:rPr>
          <w:rStyle w:val="Subtielebenadrukking"/>
          <w:i w:val="0"/>
          <w:color w:val="auto"/>
        </w:rPr>
        <w:t xml:space="preserve"> is, vraagt meestal om geen of nauwelijks onderzoek. Vrijwel meteen is </w:t>
      </w:r>
      <w:r>
        <w:rPr>
          <w:rStyle w:val="Subtielebenadrukking"/>
          <w:i w:val="0"/>
          <w:color w:val="auto"/>
        </w:rPr>
        <w:t>duidelijk dat het hier om gaat</w:t>
      </w:r>
      <w:r>
        <w:rPr>
          <w:rStyle w:val="Voetnootmarkering"/>
          <w:iCs/>
          <w:sz w:val="20"/>
        </w:rPr>
        <w:footnoteReference w:id="8"/>
      </w:r>
      <w:r>
        <w:rPr>
          <w:rStyle w:val="Subtielebenadrukking"/>
          <w:i w:val="0"/>
          <w:color w:val="auto"/>
        </w:rPr>
        <w:t>.</w:t>
      </w:r>
    </w:p>
    <w:p w14:paraId="75A871A9" w14:textId="77777777" w:rsidR="003A2EA5" w:rsidRDefault="003A2EA5" w:rsidP="003A2EA5">
      <w:pPr>
        <w:rPr>
          <w:rStyle w:val="Subtielebenadrukking"/>
          <w:i w:val="0"/>
          <w:color w:val="auto"/>
        </w:rPr>
      </w:pPr>
    </w:p>
    <w:p w14:paraId="5A1D58CE" w14:textId="77777777" w:rsidR="003A2EA5" w:rsidRDefault="003A2EA5" w:rsidP="003A2EA5">
      <w:pPr>
        <w:rPr>
          <w:rStyle w:val="Subtielebenadrukking"/>
          <w:i w:val="0"/>
          <w:color w:val="auto"/>
        </w:rPr>
      </w:pPr>
      <w:r>
        <w:rPr>
          <w:rStyle w:val="Subtielebenadrukking"/>
          <w:i w:val="0"/>
          <w:color w:val="auto"/>
        </w:rPr>
        <w:t xml:space="preserve">Van belang is te benadrukken dat er bij de initiële evaluatie altijd sprake moet zijn van een (over-)duidelijk triviale situatie. Zodra maar enige twijfel bestaat over de mogelijke consequenties of bijvoorbeeld de betrokkenheid van management, dan dient de conclusie ‘meer dan triviaal getrokken te worden. </w:t>
      </w:r>
    </w:p>
    <w:p w14:paraId="32E4ACC8" w14:textId="77777777" w:rsidR="003A2EA5" w:rsidRDefault="003A2EA5" w:rsidP="003A2EA5">
      <w:pPr>
        <w:rPr>
          <w:rStyle w:val="Subtielebenadrukking"/>
          <w:i w:val="0"/>
          <w:color w:val="auto"/>
        </w:rPr>
      </w:pPr>
    </w:p>
    <w:p w14:paraId="09C53540" w14:textId="77777777" w:rsidR="003A2EA5" w:rsidRDefault="003A2EA5" w:rsidP="003A2EA5">
      <w:pPr>
        <w:rPr>
          <w:rStyle w:val="Subtielebenadrukking"/>
          <w:i w:val="0"/>
          <w:color w:val="auto"/>
        </w:rPr>
      </w:pPr>
      <w:r>
        <w:rPr>
          <w:rStyle w:val="Subtielebenadrukking"/>
          <w:i w:val="0"/>
          <w:color w:val="auto"/>
        </w:rPr>
        <w:t>Een signaal of casus kan duidelijk triviaal zijn, als er bijvoorbeeld sprake is van:</w:t>
      </w:r>
    </w:p>
    <w:p w14:paraId="6D987B64" w14:textId="77777777" w:rsidR="003A2EA5" w:rsidRDefault="003A2EA5" w:rsidP="003A2EA5">
      <w:pPr>
        <w:numPr>
          <w:ilvl w:val="0"/>
          <w:numId w:val="5"/>
        </w:numPr>
        <w:rPr>
          <w:rStyle w:val="Subtielebenadrukking"/>
          <w:i w:val="0"/>
          <w:color w:val="auto"/>
        </w:rPr>
      </w:pPr>
      <w:r>
        <w:rPr>
          <w:rStyle w:val="Subtielebenadrukking"/>
          <w:i w:val="0"/>
          <w:color w:val="auto"/>
        </w:rPr>
        <w:t xml:space="preserve">Overtreding van </w:t>
      </w:r>
      <w:r w:rsidRPr="00A126A9">
        <w:rPr>
          <w:rStyle w:val="Subtielebenadrukking"/>
          <w:i w:val="0"/>
          <w:color w:val="auto"/>
        </w:rPr>
        <w:t xml:space="preserve">wet- en regelgeving, </w:t>
      </w:r>
      <w:r>
        <w:rPr>
          <w:rStyle w:val="Subtielebenadrukking"/>
          <w:i w:val="0"/>
          <w:color w:val="auto"/>
        </w:rPr>
        <w:t xml:space="preserve">die </w:t>
      </w:r>
      <w:r w:rsidRPr="00A126A9">
        <w:rPr>
          <w:rStyle w:val="Subtielebenadrukking"/>
          <w:i w:val="0"/>
          <w:color w:val="auto"/>
        </w:rPr>
        <w:t xml:space="preserve">in hoofdzaak betrekking </w:t>
      </w:r>
      <w:r>
        <w:rPr>
          <w:rStyle w:val="Subtielebenadrukking"/>
          <w:i w:val="0"/>
          <w:color w:val="auto"/>
        </w:rPr>
        <w:t xml:space="preserve">heeft </w:t>
      </w:r>
      <w:r w:rsidRPr="00A126A9">
        <w:rPr>
          <w:rStyle w:val="Subtielebenadrukking"/>
          <w:i w:val="0"/>
          <w:color w:val="auto"/>
        </w:rPr>
        <w:t xml:space="preserve">op de operationele aspecten van de entiteit, die door de aard daarvan geen </w:t>
      </w:r>
      <w:r>
        <w:rPr>
          <w:rStyle w:val="Subtielebenadrukking"/>
          <w:i w:val="0"/>
          <w:color w:val="auto"/>
        </w:rPr>
        <w:t xml:space="preserve">(materiële) </w:t>
      </w:r>
      <w:r w:rsidRPr="00A126A9">
        <w:rPr>
          <w:rStyle w:val="Subtielebenadrukking"/>
          <w:i w:val="0"/>
          <w:color w:val="auto"/>
        </w:rPr>
        <w:t>invloed heeft op</w:t>
      </w:r>
      <w:r>
        <w:rPr>
          <w:rStyle w:val="Subtielebenadrukking"/>
          <w:i w:val="0"/>
          <w:color w:val="auto"/>
        </w:rPr>
        <w:t xml:space="preserve"> de financiële overzichten.</w:t>
      </w:r>
    </w:p>
    <w:p w14:paraId="0DC28C70" w14:textId="77777777" w:rsidR="003A2EA5" w:rsidRPr="008F6D35" w:rsidRDefault="003A2EA5" w:rsidP="003A2EA5">
      <w:pPr>
        <w:numPr>
          <w:ilvl w:val="0"/>
          <w:numId w:val="5"/>
        </w:numPr>
        <w:rPr>
          <w:rStyle w:val="Subtielebenadrukking"/>
          <w:i w:val="0"/>
          <w:color w:val="auto"/>
        </w:rPr>
      </w:pPr>
      <w:r>
        <w:rPr>
          <w:rStyle w:val="Subtielebenadrukking"/>
          <w:i w:val="0"/>
          <w:color w:val="auto"/>
        </w:rPr>
        <w:t>Een niet-significant fraudegeval, waarbij geen sprake is van betrokkenheid van management.</w:t>
      </w:r>
    </w:p>
    <w:p w14:paraId="5A256B0F" w14:textId="77777777" w:rsidR="003A2EA5" w:rsidRDefault="003A2EA5" w:rsidP="009F354F">
      <w:pPr>
        <w:rPr>
          <w:rStyle w:val="Subtielebenadrukking"/>
          <w:i w:val="0"/>
          <w:color w:val="auto"/>
        </w:rPr>
      </w:pPr>
    </w:p>
    <w:p w14:paraId="4CBE110D" w14:textId="77777777" w:rsidR="003A2EA5" w:rsidRDefault="003A2EA5" w:rsidP="003A2EA5">
      <w:pPr>
        <w:rPr>
          <w:rStyle w:val="Subtielebenadrukking"/>
          <w:i w:val="0"/>
          <w:color w:val="auto"/>
        </w:rPr>
      </w:pPr>
      <w:r w:rsidRPr="000D1C8B">
        <w:rPr>
          <w:rStyle w:val="Subtielebenadrukking"/>
          <w:i w:val="0"/>
          <w:color w:val="auto"/>
        </w:rPr>
        <w:t xml:space="preserve">Accountants </w:t>
      </w:r>
      <w:r>
        <w:rPr>
          <w:rStyle w:val="Subtielebenadrukking"/>
          <w:i w:val="0"/>
          <w:color w:val="auto"/>
        </w:rPr>
        <w:t>be</w:t>
      </w:r>
      <w:r w:rsidRPr="000D1C8B">
        <w:rPr>
          <w:rStyle w:val="Subtielebenadrukking"/>
          <w:i w:val="0"/>
          <w:color w:val="auto"/>
        </w:rPr>
        <w:t>hoeven niet te reageren op een relevante niet-naleving</w:t>
      </w:r>
      <w:r>
        <w:rPr>
          <w:rStyle w:val="Subtielebenadrukking"/>
          <w:i w:val="0"/>
          <w:color w:val="auto"/>
        </w:rPr>
        <w:t xml:space="preserve"> die duidelijk triviaal is. Er volgen dan geen verdere stappen.</w:t>
      </w:r>
    </w:p>
    <w:p w14:paraId="32A103C1" w14:textId="77777777" w:rsidR="003A2EA5" w:rsidRDefault="003A2EA5" w:rsidP="003A2EA5">
      <w:pPr>
        <w:rPr>
          <w:rStyle w:val="Subtielebenadrukking"/>
          <w:i w:val="0"/>
          <w:color w:val="auto"/>
        </w:rPr>
      </w:pPr>
    </w:p>
    <w:p w14:paraId="672CF783" w14:textId="3C1FC91F" w:rsidR="009F354F" w:rsidRPr="003A2EA5" w:rsidRDefault="003A2EA5" w:rsidP="009F354F">
      <w:pPr>
        <w:rPr>
          <w:rStyle w:val="Subtielebenadrukking"/>
          <w:color w:val="auto"/>
        </w:rPr>
      </w:pPr>
      <w:r>
        <w:rPr>
          <w:rStyle w:val="Subtielebenadrukking"/>
          <w:color w:val="auto"/>
        </w:rPr>
        <w:t>‘</w:t>
      </w:r>
      <w:r w:rsidRPr="003A2EA5">
        <w:rPr>
          <w:rStyle w:val="Subtielebenadrukking"/>
          <w:color w:val="auto"/>
        </w:rPr>
        <w:t>Meer dan triviaal</w:t>
      </w:r>
      <w:r>
        <w:rPr>
          <w:rStyle w:val="Subtielebenadrukking"/>
          <w:color w:val="auto"/>
        </w:rPr>
        <w:t>’</w:t>
      </w:r>
    </w:p>
    <w:p w14:paraId="4320518E" w14:textId="576D9417" w:rsidR="009F354F" w:rsidRDefault="009F354F" w:rsidP="009F354F">
      <w:pPr>
        <w:rPr>
          <w:rStyle w:val="Subtielebenadrukking"/>
          <w:i w:val="0"/>
          <w:color w:val="auto"/>
        </w:rPr>
      </w:pPr>
      <w:r>
        <w:rPr>
          <w:rStyle w:val="Subtielebenadrukking"/>
          <w:i w:val="0"/>
          <w:color w:val="auto"/>
        </w:rPr>
        <w:t xml:space="preserve">Indien de uitkomst van de </w:t>
      </w:r>
      <w:r w:rsidR="00817AD6">
        <w:rPr>
          <w:rStyle w:val="Subtielebenadrukking"/>
          <w:i w:val="0"/>
          <w:color w:val="auto"/>
        </w:rPr>
        <w:t>initiële</w:t>
      </w:r>
      <w:r>
        <w:rPr>
          <w:rStyle w:val="Subtielebenadrukking"/>
          <w:i w:val="0"/>
          <w:color w:val="auto"/>
        </w:rPr>
        <w:t xml:space="preserve"> </w:t>
      </w:r>
      <w:r w:rsidR="00861436">
        <w:rPr>
          <w:rStyle w:val="Subtielebenadrukking"/>
          <w:i w:val="0"/>
          <w:color w:val="auto"/>
        </w:rPr>
        <w:t>evaluatie</w:t>
      </w:r>
      <w:r>
        <w:rPr>
          <w:rStyle w:val="Subtielebenadrukking"/>
          <w:i w:val="0"/>
          <w:color w:val="auto"/>
        </w:rPr>
        <w:t xml:space="preserve"> ‘meer dan </w:t>
      </w:r>
      <w:r w:rsidR="00022B2B">
        <w:rPr>
          <w:rStyle w:val="Subtielebenadrukking"/>
          <w:i w:val="0"/>
          <w:color w:val="auto"/>
        </w:rPr>
        <w:t>triviaal</w:t>
      </w:r>
      <w:r>
        <w:rPr>
          <w:rStyle w:val="Subtielebenadrukking"/>
          <w:i w:val="0"/>
          <w:color w:val="auto"/>
        </w:rPr>
        <w:t xml:space="preserve"> is, </w:t>
      </w:r>
      <w:r w:rsidR="00F25874">
        <w:rPr>
          <w:rStyle w:val="Subtielebenadrukking"/>
          <w:i w:val="0"/>
          <w:color w:val="auto"/>
        </w:rPr>
        <w:t xml:space="preserve">en er dus sprake is van een risico op een afwijking van materieel belang, </w:t>
      </w:r>
      <w:r>
        <w:rPr>
          <w:rStyle w:val="Subtielebenadrukking"/>
          <w:i w:val="0"/>
          <w:color w:val="auto"/>
        </w:rPr>
        <w:t xml:space="preserve">dan </w:t>
      </w:r>
      <w:r w:rsidR="00817AD6">
        <w:rPr>
          <w:rStyle w:val="Subtielebenadrukking"/>
          <w:i w:val="0"/>
          <w:color w:val="auto"/>
        </w:rPr>
        <w:t>dienen de volgende stappen gezet te worden:</w:t>
      </w:r>
    </w:p>
    <w:p w14:paraId="49E57CD1" w14:textId="77777777" w:rsidR="00B67DCC" w:rsidRDefault="00817AD6" w:rsidP="008F6D35">
      <w:pPr>
        <w:numPr>
          <w:ilvl w:val="0"/>
          <w:numId w:val="8"/>
        </w:numPr>
        <w:rPr>
          <w:rStyle w:val="Subtielebenadrukking"/>
          <w:i w:val="0"/>
          <w:color w:val="auto"/>
        </w:rPr>
      </w:pPr>
      <w:r>
        <w:rPr>
          <w:rStyle w:val="Subtielebenadrukking"/>
          <w:i w:val="0"/>
          <w:color w:val="auto"/>
        </w:rPr>
        <w:t xml:space="preserve">De casus </w:t>
      </w:r>
      <w:r w:rsidR="00896E03">
        <w:rPr>
          <w:rStyle w:val="Subtielebenadrukking"/>
          <w:i w:val="0"/>
          <w:color w:val="auto"/>
        </w:rPr>
        <w:t xml:space="preserve">nader analyseren en/of </w:t>
      </w:r>
      <w:r>
        <w:rPr>
          <w:rStyle w:val="Subtielebenadrukking"/>
          <w:i w:val="0"/>
          <w:color w:val="auto"/>
        </w:rPr>
        <w:t xml:space="preserve">voorleggen aan de afdeling/functionaris van de eigen organisatie ten behoeve van de </w:t>
      </w:r>
      <w:r w:rsidR="008F6D35">
        <w:rPr>
          <w:rStyle w:val="Subtielebenadrukking"/>
          <w:i w:val="0"/>
          <w:color w:val="auto"/>
        </w:rPr>
        <w:t xml:space="preserve">(verdere/doorlopende) </w:t>
      </w:r>
      <w:r w:rsidR="00861436">
        <w:rPr>
          <w:rStyle w:val="Subtielebenadrukking"/>
          <w:i w:val="0"/>
          <w:color w:val="auto"/>
        </w:rPr>
        <w:t>evaluatie</w:t>
      </w:r>
      <w:r>
        <w:rPr>
          <w:rStyle w:val="Subtielebenadrukking"/>
          <w:i w:val="0"/>
          <w:color w:val="auto"/>
        </w:rPr>
        <w:t xml:space="preserve"> </w:t>
      </w:r>
      <w:r w:rsidR="008F6D35">
        <w:rPr>
          <w:rStyle w:val="Subtielebenadrukking"/>
          <w:i w:val="0"/>
          <w:color w:val="auto"/>
        </w:rPr>
        <w:t>of meldplichten van toepassing zijn. Zie voor ondersteuning het ‘</w:t>
      </w:r>
      <w:r w:rsidR="008F6D35" w:rsidRPr="008F6D35">
        <w:rPr>
          <w:rStyle w:val="Subtielebenadrukking"/>
          <w:color w:val="auto"/>
          <w:u w:val="single"/>
        </w:rPr>
        <w:t>schema meldplichten’</w:t>
      </w:r>
      <w:r w:rsidR="008F6D35">
        <w:rPr>
          <w:rStyle w:val="Subtielebenadrukking"/>
          <w:color w:val="auto"/>
          <w:u w:val="single"/>
        </w:rPr>
        <w:t>.</w:t>
      </w:r>
    </w:p>
    <w:p w14:paraId="03F23BAA" w14:textId="77777777" w:rsidR="00817AD6" w:rsidRDefault="00817AD6" w:rsidP="00817AD6">
      <w:pPr>
        <w:numPr>
          <w:ilvl w:val="0"/>
          <w:numId w:val="8"/>
        </w:numPr>
        <w:rPr>
          <w:rStyle w:val="Subtielebenadrukking"/>
          <w:i w:val="0"/>
          <w:color w:val="auto"/>
        </w:rPr>
      </w:pPr>
      <w:r>
        <w:rPr>
          <w:rStyle w:val="Subtielebenadrukking"/>
          <w:i w:val="0"/>
          <w:color w:val="auto"/>
        </w:rPr>
        <w:t>Het bepalen van de wijze waarop het management van de cliënt geïnformeerd wordt over de casus.</w:t>
      </w:r>
    </w:p>
    <w:p w14:paraId="7EE7A526" w14:textId="77777777" w:rsidR="00817AD6" w:rsidRPr="009F354F" w:rsidRDefault="00817AD6" w:rsidP="00817AD6">
      <w:pPr>
        <w:numPr>
          <w:ilvl w:val="0"/>
          <w:numId w:val="8"/>
        </w:numPr>
        <w:rPr>
          <w:rStyle w:val="Subtielebenadrukking"/>
          <w:i w:val="0"/>
          <w:color w:val="auto"/>
        </w:rPr>
      </w:pPr>
      <w:r>
        <w:rPr>
          <w:rStyle w:val="Subtielebenadrukking"/>
          <w:i w:val="0"/>
          <w:color w:val="auto"/>
        </w:rPr>
        <w:t>Het bepalen van de aanvullende werkzaamheden die de accountant dient uit te voeren, evenals het bepalen van de wijze waarop de accountant omgaat met het onderzoek dat door het management wordt geïnitieerd (toereikend, bruikbaar) en het maken van afspraken met de cliënt over de rol en de participatie van de accountant in dat onderzoek.</w:t>
      </w:r>
    </w:p>
    <w:p w14:paraId="17B78C15" w14:textId="77777777" w:rsidR="00E07281" w:rsidRPr="00E07281" w:rsidRDefault="00E07281" w:rsidP="00E07281">
      <w:pPr>
        <w:rPr>
          <w:rStyle w:val="Subtielebenadrukking"/>
          <w:i w:val="0"/>
          <w:color w:val="auto"/>
        </w:rPr>
      </w:pPr>
    </w:p>
    <w:p w14:paraId="7314DC42" w14:textId="085984EB" w:rsidR="00F25874" w:rsidRDefault="00C80649" w:rsidP="00F25874">
      <w:pPr>
        <w:rPr>
          <w:rStyle w:val="Subtielebenadrukking"/>
          <w:i w:val="0"/>
          <w:color w:val="auto"/>
        </w:rPr>
      </w:pPr>
      <w:r>
        <w:rPr>
          <w:rStyle w:val="Subtielebenadrukking"/>
          <w:i w:val="0"/>
          <w:color w:val="auto"/>
        </w:rPr>
        <w:t xml:space="preserve">Nadere </w:t>
      </w:r>
      <w:proofErr w:type="spellStart"/>
      <w:r>
        <w:rPr>
          <w:rStyle w:val="Subtielebenadrukking"/>
          <w:i w:val="0"/>
          <w:color w:val="auto"/>
        </w:rPr>
        <w:t>guidance</w:t>
      </w:r>
      <w:proofErr w:type="spellEnd"/>
      <w:r>
        <w:rPr>
          <w:rStyle w:val="Subtielebenadrukking"/>
          <w:i w:val="0"/>
          <w:color w:val="auto"/>
        </w:rPr>
        <w:t xml:space="preserve"> voor de opvolging van het signaal/de aanwijzing voor fraude is te vinden via het ‘</w:t>
      </w:r>
      <w:hyperlink r:id="rId8" w:history="1">
        <w:r w:rsidRPr="005251A6">
          <w:rPr>
            <w:rStyle w:val="Hyperlink"/>
            <w:sz w:val="20"/>
          </w:rPr>
          <w:t xml:space="preserve">Stappenplan </w:t>
        </w:r>
        <w:r w:rsidR="005251A6" w:rsidRPr="005251A6">
          <w:rPr>
            <w:rStyle w:val="Hyperlink"/>
            <w:sz w:val="20"/>
          </w:rPr>
          <w:t xml:space="preserve">Meldplicht </w:t>
        </w:r>
        <w:r w:rsidRPr="005251A6">
          <w:rPr>
            <w:rStyle w:val="Hyperlink"/>
            <w:sz w:val="20"/>
          </w:rPr>
          <w:t>Fraude’</w:t>
        </w:r>
      </w:hyperlink>
      <w:r>
        <w:rPr>
          <w:rStyle w:val="Subtielebenadrukking"/>
          <w:i w:val="0"/>
          <w:color w:val="auto"/>
        </w:rPr>
        <w:t>.</w:t>
      </w:r>
      <w:r w:rsidR="00F25874">
        <w:rPr>
          <w:rStyle w:val="Subtielebenadrukking"/>
          <w:i w:val="0"/>
          <w:color w:val="auto"/>
        </w:rPr>
        <w:t xml:space="preserve"> </w:t>
      </w:r>
    </w:p>
    <w:p w14:paraId="3AD0514C" w14:textId="77777777" w:rsidR="00F25874" w:rsidRDefault="00F25874" w:rsidP="00F25874">
      <w:pPr>
        <w:rPr>
          <w:rStyle w:val="Subtielebenadrukking"/>
          <w:i w:val="0"/>
          <w:color w:val="auto"/>
        </w:rPr>
      </w:pPr>
    </w:p>
    <w:sectPr w:rsidR="00F25874" w:rsidSect="007C011C">
      <w:footerReference w:type="even" r:id="rId9"/>
      <w:footerReference w:type="default" r:id="rId10"/>
      <w:type w:val="continuous"/>
      <w:pgSz w:w="11906" w:h="16838" w:code="9"/>
      <w:pgMar w:top="1701" w:right="2268" w:bottom="1134" w:left="1208" w:header="709" w:footer="709" w:gutter="0"/>
      <w:cols w:space="708"/>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417691" w16cid:durableId="202CEEDE"/>
  <w16cid:commentId w16cid:paraId="6B6E7E34" w16cid:durableId="202CEEDF"/>
  <w16cid:commentId w16cid:paraId="3C62C192" w16cid:durableId="202CEEE7"/>
  <w16cid:commentId w16cid:paraId="70B095EC" w16cid:durableId="202CEEE0"/>
  <w16cid:commentId w16cid:paraId="41747D4A" w16cid:durableId="202CEEE1"/>
  <w16cid:commentId w16cid:paraId="27092D97" w16cid:durableId="202CEEE2"/>
  <w16cid:commentId w16cid:paraId="2626BBB8" w16cid:durableId="202CEEE3"/>
  <w16cid:commentId w16cid:paraId="0864D0A0" w16cid:durableId="202CEEE4"/>
  <w16cid:commentId w16cid:paraId="1EA42D32" w16cid:durableId="202CEE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C89441" w14:textId="77777777" w:rsidR="005542D4" w:rsidRDefault="005542D4">
      <w:r>
        <w:separator/>
      </w:r>
    </w:p>
  </w:endnote>
  <w:endnote w:type="continuationSeparator" w:id="0">
    <w:p w14:paraId="0B5E5247" w14:textId="77777777" w:rsidR="005542D4" w:rsidRDefault="0055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15227" w14:textId="77777777" w:rsidR="00500349" w:rsidRDefault="00AB3E90" w:rsidP="00FD722F">
    <w:pPr>
      <w:pStyle w:val="Voettekst"/>
    </w:pPr>
    <w:r>
      <w:rPr>
        <w:noProof/>
      </w:rPr>
      <mc:AlternateContent>
        <mc:Choice Requires="wps">
          <w:drawing>
            <wp:anchor distT="0" distB="0" distL="114300" distR="114300" simplePos="0" relativeHeight="251656704" behindDoc="0" locked="0" layoutInCell="0" allowOverlap="1" wp14:anchorId="72EEC50E" wp14:editId="4D0AAB43">
              <wp:simplePos x="0" y="0"/>
              <wp:positionH relativeFrom="page">
                <wp:posOffset>685165</wp:posOffset>
              </wp:positionH>
              <wp:positionV relativeFrom="page">
                <wp:posOffset>10067925</wp:posOffset>
              </wp:positionV>
              <wp:extent cx="762000" cy="379730"/>
              <wp:effectExtent l="0" t="0" r="0" b="0"/>
              <wp:wrapNone/>
              <wp:docPr id="1"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97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342AB6DB" w14:textId="013C5EE3" w:rsidR="00500349" w:rsidRPr="00D32A47" w:rsidRDefault="00500349" w:rsidP="009535EC">
                          <w:pPr>
                            <w:rPr>
                              <w:sz w:val="18"/>
                              <w:szCs w:val="18"/>
                            </w:rPr>
                          </w:pPr>
                          <w:r w:rsidRPr="00D32A47">
                            <w:rPr>
                              <w:sz w:val="18"/>
                              <w:szCs w:val="18"/>
                            </w:rPr>
                            <w:fldChar w:fldCharType="begin"/>
                          </w:r>
                          <w:r w:rsidRPr="00D32A47">
                            <w:rPr>
                              <w:sz w:val="18"/>
                              <w:szCs w:val="18"/>
                            </w:rPr>
                            <w:instrText>PAGE  \* MERGEFORMAT</w:instrText>
                          </w:r>
                          <w:r w:rsidRPr="00D32A47">
                            <w:rPr>
                              <w:sz w:val="18"/>
                              <w:szCs w:val="18"/>
                            </w:rPr>
                            <w:fldChar w:fldCharType="separate"/>
                          </w:r>
                          <w:r w:rsidR="005251A6">
                            <w:rPr>
                              <w:noProof/>
                              <w:sz w:val="18"/>
                              <w:szCs w:val="18"/>
                            </w:rPr>
                            <w:t>4</w:t>
                          </w:r>
                          <w:r w:rsidRPr="00D32A47">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EC50E" id="Rechthoek 9" o:spid="_x0000_s1026" style="position:absolute;margin-left:53.95pt;margin-top:792.75pt;width:60pt;height:29.9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" o:allowincell="f" stroked="f">
              <v:textbox>
                <w:txbxContent>
                  <w:p w14:paraId="342AB6DB" w14:textId="013C5EE3" w:rsidR="00500349" w:rsidRPr="00D32A47" w:rsidRDefault="00500349" w:rsidP="009535EC">
                    <w:pPr>
                      <w:rPr>
                        <w:sz w:val="18"/>
                        <w:szCs w:val="18"/>
                      </w:rPr>
                    </w:pPr>
                    <w:r w:rsidRPr="00D32A47">
                      <w:rPr>
                        <w:sz w:val="18"/>
                        <w:szCs w:val="18"/>
                      </w:rPr>
                      <w:fldChar w:fldCharType="begin"/>
                    </w:r>
                    <w:r w:rsidRPr="00D32A47">
                      <w:rPr>
                        <w:sz w:val="18"/>
                        <w:szCs w:val="18"/>
                      </w:rPr>
                      <w:instrText>PAGE  \* MERGEFORMAT</w:instrText>
                    </w:r>
                    <w:r w:rsidRPr="00D32A47">
                      <w:rPr>
                        <w:sz w:val="18"/>
                        <w:szCs w:val="18"/>
                      </w:rPr>
                      <w:fldChar w:fldCharType="separate"/>
                    </w:r>
                    <w:r w:rsidR="005251A6">
                      <w:rPr>
                        <w:noProof/>
                        <w:sz w:val="18"/>
                        <w:szCs w:val="18"/>
                      </w:rPr>
                      <w:t>4</w:t>
                    </w:r>
                    <w:r w:rsidRPr="00D32A47">
                      <w:rPr>
                        <w:sz w:val="18"/>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2A9E2" w14:textId="77777777" w:rsidR="00500349" w:rsidRDefault="00AB3E90" w:rsidP="00FD722F">
    <w:pPr>
      <w:pStyle w:val="Voettekst"/>
    </w:pPr>
    <w:r>
      <w:rPr>
        <w:noProof/>
      </w:rPr>
      <mc:AlternateContent>
        <mc:Choice Requires="wps">
          <w:drawing>
            <wp:anchor distT="0" distB="0" distL="114300" distR="114300" simplePos="0" relativeHeight="251657728" behindDoc="0" locked="0" layoutInCell="0" allowOverlap="1" wp14:anchorId="2D5908E0" wp14:editId="4BB6438E">
              <wp:simplePos x="0" y="0"/>
              <wp:positionH relativeFrom="page">
                <wp:posOffset>6502400</wp:posOffset>
              </wp:positionH>
              <wp:positionV relativeFrom="page">
                <wp:posOffset>10066020</wp:posOffset>
              </wp:positionV>
              <wp:extent cx="762000" cy="379730"/>
              <wp:effectExtent l="0" t="0" r="0" b="0"/>
              <wp:wrapNone/>
              <wp:docPr id="55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7973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14:paraId="06250BF6" w14:textId="5158464A" w:rsidR="00500349" w:rsidRPr="00D32A47" w:rsidRDefault="00500349" w:rsidP="009535EC">
                          <w:pPr>
                            <w:rPr>
                              <w:sz w:val="18"/>
                              <w:szCs w:val="18"/>
                            </w:rPr>
                          </w:pPr>
                          <w:r w:rsidRPr="00D32A47">
                            <w:rPr>
                              <w:sz w:val="18"/>
                              <w:szCs w:val="18"/>
                            </w:rPr>
                            <w:fldChar w:fldCharType="begin"/>
                          </w:r>
                          <w:r w:rsidRPr="00D32A47">
                            <w:rPr>
                              <w:sz w:val="18"/>
                              <w:szCs w:val="18"/>
                            </w:rPr>
                            <w:instrText>PAGE  \* MERGEFORMAT</w:instrText>
                          </w:r>
                          <w:r w:rsidRPr="00D32A47">
                            <w:rPr>
                              <w:sz w:val="18"/>
                              <w:szCs w:val="18"/>
                            </w:rPr>
                            <w:fldChar w:fldCharType="separate"/>
                          </w:r>
                          <w:r w:rsidR="005251A6">
                            <w:rPr>
                              <w:noProof/>
                              <w:sz w:val="18"/>
                              <w:szCs w:val="18"/>
                            </w:rPr>
                            <w:t>3</w:t>
                          </w:r>
                          <w:r w:rsidRPr="00D32A47">
                            <w:rPr>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5908E0" id="_x0000_s1027" style="position:absolute;margin-left:512pt;margin-top:792.6pt;width:60pt;height:29.9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" o:allowincell="f" stroked="f">
              <v:textbox>
                <w:txbxContent>
                  <w:p w14:paraId="06250BF6" w14:textId="5158464A" w:rsidR="00500349" w:rsidRPr="00D32A47" w:rsidRDefault="00500349" w:rsidP="009535EC">
                    <w:pPr>
                      <w:rPr>
                        <w:sz w:val="18"/>
                        <w:szCs w:val="18"/>
                      </w:rPr>
                    </w:pPr>
                    <w:r w:rsidRPr="00D32A47">
                      <w:rPr>
                        <w:sz w:val="18"/>
                        <w:szCs w:val="18"/>
                      </w:rPr>
                      <w:fldChar w:fldCharType="begin"/>
                    </w:r>
                    <w:r w:rsidRPr="00D32A47">
                      <w:rPr>
                        <w:sz w:val="18"/>
                        <w:szCs w:val="18"/>
                      </w:rPr>
                      <w:instrText>PAGE  \* MERGEFORMAT</w:instrText>
                    </w:r>
                    <w:r w:rsidRPr="00D32A47">
                      <w:rPr>
                        <w:sz w:val="18"/>
                        <w:szCs w:val="18"/>
                      </w:rPr>
                      <w:fldChar w:fldCharType="separate"/>
                    </w:r>
                    <w:r w:rsidR="005251A6">
                      <w:rPr>
                        <w:noProof/>
                        <w:sz w:val="18"/>
                        <w:szCs w:val="18"/>
                      </w:rPr>
                      <w:t>3</w:t>
                    </w:r>
                    <w:r w:rsidRPr="00D32A47">
                      <w:rPr>
                        <w:sz w:val="18"/>
                        <w:szCs w:val="18"/>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D2E73" w14:textId="77777777" w:rsidR="005542D4" w:rsidRDefault="005542D4">
      <w:r>
        <w:separator/>
      </w:r>
    </w:p>
  </w:footnote>
  <w:footnote w:type="continuationSeparator" w:id="0">
    <w:p w14:paraId="1C8DC2EF" w14:textId="77777777" w:rsidR="005542D4" w:rsidRDefault="005542D4">
      <w:r>
        <w:continuationSeparator/>
      </w:r>
    </w:p>
  </w:footnote>
  <w:footnote w:id="1">
    <w:p w14:paraId="3AC7594C" w14:textId="77777777" w:rsidR="00096B76" w:rsidRPr="00CA3006" w:rsidRDefault="00096B76">
      <w:pPr>
        <w:pStyle w:val="Voetnoottekst"/>
        <w:rPr>
          <w:sz w:val="18"/>
        </w:rPr>
      </w:pPr>
      <w:r>
        <w:rPr>
          <w:rStyle w:val="Voetnootmarkering"/>
        </w:rPr>
        <w:footnoteRef/>
      </w:r>
      <w:r>
        <w:t xml:space="preserve"> </w:t>
      </w:r>
      <w:r w:rsidRPr="00CA3006">
        <w:rPr>
          <w:sz w:val="18"/>
        </w:rPr>
        <w:t>Dit is een van de doelstellingen van NV COS 240</w:t>
      </w:r>
      <w:r w:rsidR="00AD7A28" w:rsidRPr="00CA3006">
        <w:rPr>
          <w:sz w:val="18"/>
        </w:rPr>
        <w:t xml:space="preserve"> respectievelijk NV COS 250</w:t>
      </w:r>
    </w:p>
  </w:footnote>
  <w:footnote w:id="2">
    <w:p w14:paraId="0CB98B7C" w14:textId="77777777" w:rsidR="00D402C3" w:rsidRPr="00CA3006" w:rsidRDefault="00D402C3" w:rsidP="00D402C3">
      <w:pPr>
        <w:pStyle w:val="Voetnoottekst"/>
        <w:rPr>
          <w:sz w:val="18"/>
        </w:rPr>
      </w:pPr>
      <w:r w:rsidRPr="00CA3006">
        <w:rPr>
          <w:rStyle w:val="Voetnootmarkering"/>
          <w:sz w:val="18"/>
        </w:rPr>
        <w:footnoteRef/>
      </w:r>
      <w:r w:rsidRPr="00CA3006">
        <w:rPr>
          <w:sz w:val="18"/>
        </w:rPr>
        <w:t xml:space="preserve"> NV COS 240 A51A: De accountant gaat na of de aanwijzing voor fraude betrekking heeft op een ongebruikelijke transactie zoals bedoeld in de Wet ter voorkoming van witwassen en financieren van terrorisme Indien en voor zover dit het geval is handelt hij overeenkomstig deze wet. </w:t>
      </w:r>
    </w:p>
  </w:footnote>
  <w:footnote w:id="3">
    <w:p w14:paraId="4528C37A" w14:textId="28104DA9" w:rsidR="00D402C3" w:rsidRDefault="00D402C3" w:rsidP="00D402C3">
      <w:pPr>
        <w:pStyle w:val="Voetnoottekst"/>
      </w:pPr>
      <w:r w:rsidRPr="00CA3006">
        <w:rPr>
          <w:rStyle w:val="Voetnootmarkering"/>
          <w:sz w:val="18"/>
        </w:rPr>
        <w:footnoteRef/>
      </w:r>
      <w:r w:rsidRPr="00CA3006">
        <w:rPr>
          <w:sz w:val="18"/>
        </w:rPr>
        <w:t xml:space="preserve"> NV COS 240 A60: Wanneer de accountant controle-informatie heeft verkregen waaruit blijkt dat fraude bestaat of zou kunnen bestaan, is het bela</w:t>
      </w:r>
      <w:r w:rsidR="0029757C" w:rsidRPr="00CA3006">
        <w:rPr>
          <w:sz w:val="18"/>
        </w:rPr>
        <w:t xml:space="preserve">ngrijk dat dit zo snel mogelijk </w:t>
      </w:r>
      <w:r w:rsidRPr="00CA3006">
        <w:rPr>
          <w:sz w:val="18"/>
        </w:rPr>
        <w:t>als praktisch uitvoerbaar is</w:t>
      </w:r>
      <w:r w:rsidR="0029757C" w:rsidRPr="00CA3006">
        <w:rPr>
          <w:sz w:val="18"/>
        </w:rPr>
        <w:t>,</w:t>
      </w:r>
      <w:r w:rsidRPr="00CA3006">
        <w:rPr>
          <w:sz w:val="18"/>
        </w:rPr>
        <w:t xml:space="preserve"> ter kennis wordt gebracht van het management op het passende verantwoordelijkheidsniveau</w:t>
      </w:r>
      <w:r w:rsidR="00D13D3E" w:rsidRPr="00CA3006">
        <w:rPr>
          <w:sz w:val="18"/>
        </w:rPr>
        <w:t xml:space="preserve">, </w:t>
      </w:r>
      <w:r w:rsidRPr="00CA3006">
        <w:rPr>
          <w:sz w:val="18"/>
        </w:rPr>
        <w:t>ook al lijkt het een onbeduidende zaak te betreffen (bijvoorbeeld een ontvreemding van een klein bedrag door een werknemer op een laag niveau in de organisatie).</w:t>
      </w:r>
    </w:p>
  </w:footnote>
  <w:footnote w:id="4">
    <w:p w14:paraId="719A74C4" w14:textId="77777777" w:rsidR="003A2EA5" w:rsidRPr="00CA3006" w:rsidRDefault="003A2EA5" w:rsidP="003A2EA5">
      <w:pPr>
        <w:pStyle w:val="Voetnoottekst"/>
        <w:rPr>
          <w:rStyle w:val="Subtielebenadrukking"/>
          <w:i w:val="0"/>
          <w:color w:val="auto"/>
          <w:sz w:val="18"/>
        </w:rPr>
      </w:pPr>
      <w:r>
        <w:rPr>
          <w:rStyle w:val="Voetnootmarkering"/>
        </w:rPr>
        <w:footnoteRef/>
      </w:r>
      <w:r>
        <w:t xml:space="preserve"> </w:t>
      </w:r>
      <w:r w:rsidRPr="00CA3006">
        <w:rPr>
          <w:sz w:val="18"/>
        </w:rPr>
        <w:t xml:space="preserve">COS450.5 A2:  </w:t>
      </w:r>
      <w:r w:rsidRPr="00CA3006">
        <w:rPr>
          <w:rStyle w:val="Subtielebenadrukking"/>
          <w:i w:val="0"/>
          <w:color w:val="auto"/>
          <w:sz w:val="18"/>
        </w:rPr>
        <w:t>‘Duidelijk triviaal’ is niet een andere wijze om ‘niet van materieel belang’ tot uitdrukking te brengen. Duidelijk triviale afwijkingen zijn van een geheel andere (kleinere) orde van grootte of van een heel andere aard dan de afwijkingen die als van materieel belang bepaald zouden worden en zijn afwijkingen die duidelijk onbeduidend zijn, ongeacht of ze afzonderlijk dan wel gezamenlijk in overweging worden genomen, en ongeacht of ze naar omvang, aard of omstandigheden worden beoordeeld. Wanneer er enige onzekerheid bestaat over de vraag of een of meerdere elementen duidelijk triviaal zijn, wordt de afwijking niet als duidelijk triviaal beschouwd.</w:t>
      </w:r>
    </w:p>
    <w:p w14:paraId="33B9B008" w14:textId="0506E842" w:rsidR="003A2EA5" w:rsidRDefault="003A2EA5">
      <w:pPr>
        <w:pStyle w:val="Voetnoottekst"/>
      </w:pPr>
    </w:p>
  </w:footnote>
  <w:footnote w:id="5">
    <w:p w14:paraId="47DFF856" w14:textId="77777777" w:rsidR="003F48B5" w:rsidRPr="00CA3006" w:rsidRDefault="003F48B5">
      <w:pPr>
        <w:pStyle w:val="Voetnoottekst"/>
        <w:rPr>
          <w:sz w:val="18"/>
        </w:rPr>
      </w:pPr>
      <w:r>
        <w:rPr>
          <w:rStyle w:val="Voetnootmarkering"/>
        </w:rPr>
        <w:footnoteRef/>
      </w:r>
      <w:r>
        <w:t xml:space="preserve"> </w:t>
      </w:r>
      <w:r w:rsidRPr="00CA3006">
        <w:rPr>
          <w:sz w:val="18"/>
        </w:rPr>
        <w:t xml:space="preserve">Bij de </w:t>
      </w:r>
      <w:r w:rsidR="00861436" w:rsidRPr="00CA3006">
        <w:rPr>
          <w:sz w:val="18"/>
        </w:rPr>
        <w:t>evaluatie</w:t>
      </w:r>
      <w:r w:rsidRPr="00CA3006">
        <w:rPr>
          <w:sz w:val="18"/>
        </w:rPr>
        <w:t xml:space="preserve"> hiervan dient ook het effect van het mogelijk </w:t>
      </w:r>
      <w:r w:rsidRPr="00CA3006">
        <w:rPr>
          <w:rStyle w:val="Subtielebenadrukking"/>
          <w:i w:val="0"/>
          <w:color w:val="auto"/>
          <w:sz w:val="18"/>
        </w:rPr>
        <w:t>opleggen van boetes, strafvorderingen, schadevergoedingen, de dreiging van inbeslagneming van activa, de gedwongen beëindiging van de activiteiten, alsmede rechtszaken te worden meegewogen, evenals de vraag of de potentiële financiële gevolgen toelichting vereisen</w:t>
      </w:r>
    </w:p>
  </w:footnote>
  <w:footnote w:id="6">
    <w:p w14:paraId="7646CCFC" w14:textId="77777777" w:rsidR="003F48B5" w:rsidRPr="00CA3006" w:rsidRDefault="003F48B5">
      <w:pPr>
        <w:pStyle w:val="Voetnoottekst"/>
        <w:rPr>
          <w:sz w:val="18"/>
        </w:rPr>
      </w:pPr>
      <w:r w:rsidRPr="00CA3006">
        <w:rPr>
          <w:rStyle w:val="Voetnootmarkering"/>
          <w:sz w:val="18"/>
        </w:rPr>
        <w:footnoteRef/>
      </w:r>
      <w:r w:rsidRPr="00CA3006">
        <w:rPr>
          <w:sz w:val="18"/>
        </w:rPr>
        <w:t xml:space="preserve"> Hiervan kan mogelijk ook sprake zijn indien het management nalaat om corrigerende acties te nemen of om op passende wijze in te spelen </w:t>
      </w:r>
      <w:r w:rsidRPr="00CA3006">
        <w:rPr>
          <w:rStyle w:val="Subtielebenadrukking"/>
          <w:i w:val="0"/>
          <w:color w:val="auto"/>
          <w:sz w:val="18"/>
        </w:rPr>
        <w:t>op geïdentificeerde significante tekortkomingen in de interne beheersing of op geïdentificeerde fraude</w:t>
      </w:r>
    </w:p>
  </w:footnote>
  <w:footnote w:id="7">
    <w:p w14:paraId="41CA267B" w14:textId="43C643B5" w:rsidR="00A75D40" w:rsidRPr="00CA3006" w:rsidRDefault="00A75D40">
      <w:pPr>
        <w:pStyle w:val="Voetnoottekst"/>
        <w:rPr>
          <w:rStyle w:val="Subtielebenadrukking"/>
          <w:i w:val="0"/>
          <w:color w:val="auto"/>
          <w:sz w:val="18"/>
        </w:rPr>
      </w:pPr>
      <w:r w:rsidRPr="00CA3006">
        <w:rPr>
          <w:rStyle w:val="Voetnootmarkering"/>
          <w:sz w:val="18"/>
        </w:rPr>
        <w:footnoteRef/>
      </w:r>
      <w:r w:rsidRPr="00CA3006">
        <w:rPr>
          <w:sz w:val="18"/>
        </w:rPr>
        <w:t xml:space="preserve"> COS450.5 A2:  </w:t>
      </w:r>
      <w:r w:rsidRPr="00CA3006">
        <w:rPr>
          <w:rStyle w:val="Subtielebenadrukking"/>
          <w:i w:val="0"/>
          <w:color w:val="auto"/>
          <w:sz w:val="18"/>
        </w:rPr>
        <w:t>‘Duidelijk triviaal’ is niet een andere wijze om ‘niet van materieel belang’ tot uitdrukking te brengen. Duidelijk triviale afwijkingen zijn van een geheel andere (kleinere) orde van grootte of van een heel andere aard dan de afwijkingen die als van materieel belang bepaald zouden worden en zijn afwijkingen die duidelijk onbeduidend zijn, ongeacht of ze afzonderlijk dan wel gezamenlijk in overweging worden genomen, en ongeacht of ze naar omvang, aard of omstandigheden worden beoordeeld. Wanneer er enige onzekerheid bestaat over de vraag of een of meerdere elementen duidelijk triviaal zijn, wordt de afwijking niet als duidelijk triviaal beschouwd.</w:t>
      </w:r>
    </w:p>
  </w:footnote>
  <w:footnote w:id="8">
    <w:p w14:paraId="7B9267BF" w14:textId="77777777" w:rsidR="003A2EA5" w:rsidRDefault="003A2EA5" w:rsidP="003A2EA5">
      <w:pPr>
        <w:pStyle w:val="Voetnoottekst"/>
      </w:pPr>
      <w:r>
        <w:rPr>
          <w:rStyle w:val="Voetnootmarkering"/>
        </w:rPr>
        <w:footnoteRef/>
      </w:r>
      <w:r>
        <w:t xml:space="preserve"> NV NOCLAR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A07"/>
    <w:multiLevelType w:val="hybridMultilevel"/>
    <w:tmpl w:val="5088E76E"/>
    <w:lvl w:ilvl="0" w:tplc="F23812A2">
      <w:start w:val="1"/>
      <w:numFmt w:val="bullet"/>
      <w:lvlText w:val="□"/>
      <w:lvlJc w:val="left"/>
      <w:pPr>
        <w:ind w:left="720" w:hanging="360"/>
      </w:pPr>
      <w:rPr>
        <w:rFonts w:ascii="Courier New" w:hAnsi="Courier New" w:hint="default"/>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6966C6"/>
    <w:multiLevelType w:val="hybridMultilevel"/>
    <w:tmpl w:val="0EB69C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5432A81"/>
    <w:multiLevelType w:val="hybridMultilevel"/>
    <w:tmpl w:val="6B4A6840"/>
    <w:lvl w:ilvl="0" w:tplc="04130001">
      <w:start w:val="1"/>
      <w:numFmt w:val="bullet"/>
      <w:lvlText w:val=""/>
      <w:lvlJc w:val="left"/>
      <w:pPr>
        <w:ind w:left="360" w:hanging="360"/>
      </w:pPr>
      <w:rPr>
        <w:rFonts w:ascii="Symbol" w:hAnsi="Symbol" w:hint="default"/>
        <w:sz w:val="2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5C82DD4"/>
    <w:multiLevelType w:val="hybridMultilevel"/>
    <w:tmpl w:val="C59EB26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34DA4C26"/>
    <w:multiLevelType w:val="hybridMultilevel"/>
    <w:tmpl w:val="E668A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600761"/>
    <w:multiLevelType w:val="hybridMultilevel"/>
    <w:tmpl w:val="9AD0C5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7663D2D"/>
    <w:multiLevelType w:val="hybridMultilevel"/>
    <w:tmpl w:val="6A6AC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EAE5A60"/>
    <w:multiLevelType w:val="hybridMultilevel"/>
    <w:tmpl w:val="C4F473B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6EF7401A"/>
    <w:multiLevelType w:val="hybridMultilevel"/>
    <w:tmpl w:val="CFFC73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752015B9"/>
    <w:multiLevelType w:val="multilevel"/>
    <w:tmpl w:val="2A2C383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9"/>
  </w:num>
  <w:num w:numId="3">
    <w:abstractNumId w:val="7"/>
  </w:num>
  <w:num w:numId="4">
    <w:abstractNumId w:val="1"/>
  </w:num>
  <w:num w:numId="5">
    <w:abstractNumId w:val="8"/>
  </w:num>
  <w:num w:numId="6">
    <w:abstractNumId w:val="4"/>
  </w:num>
  <w:num w:numId="7">
    <w:abstractNumId w:val="0"/>
  </w:num>
  <w:num w:numId="8">
    <w:abstractNumId w:val="2"/>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nl-NL" w:vendorID="64" w:dllVersion="131078"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evenAndOddHeader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241"/>
    <w:rsid w:val="00001F5C"/>
    <w:rsid w:val="00002D90"/>
    <w:rsid w:val="00022B2B"/>
    <w:rsid w:val="00022F49"/>
    <w:rsid w:val="000278AC"/>
    <w:rsid w:val="0004018B"/>
    <w:rsid w:val="00096B76"/>
    <w:rsid w:val="000A661F"/>
    <w:rsid w:val="000C3A31"/>
    <w:rsid w:val="000C7573"/>
    <w:rsid w:val="000D1C8B"/>
    <w:rsid w:val="000E0D5E"/>
    <w:rsid w:val="000F057D"/>
    <w:rsid w:val="000F148C"/>
    <w:rsid w:val="001004B8"/>
    <w:rsid w:val="00107D43"/>
    <w:rsid w:val="00114998"/>
    <w:rsid w:val="00126B58"/>
    <w:rsid w:val="00153413"/>
    <w:rsid w:val="00180F63"/>
    <w:rsid w:val="0018680B"/>
    <w:rsid w:val="001D6250"/>
    <w:rsid w:val="001D7C1D"/>
    <w:rsid w:val="001F58C1"/>
    <w:rsid w:val="00204785"/>
    <w:rsid w:val="002079AA"/>
    <w:rsid w:val="00215CA3"/>
    <w:rsid w:val="002616E8"/>
    <w:rsid w:val="0029757C"/>
    <w:rsid w:val="002E0AB1"/>
    <w:rsid w:val="003868C7"/>
    <w:rsid w:val="003917D8"/>
    <w:rsid w:val="003A06E9"/>
    <w:rsid w:val="003A2B80"/>
    <w:rsid w:val="003A2EA5"/>
    <w:rsid w:val="003B0599"/>
    <w:rsid w:val="003C046D"/>
    <w:rsid w:val="003C2258"/>
    <w:rsid w:val="003D3FA9"/>
    <w:rsid w:val="003E193A"/>
    <w:rsid w:val="003F48B5"/>
    <w:rsid w:val="003F5FBE"/>
    <w:rsid w:val="00435BE8"/>
    <w:rsid w:val="00447239"/>
    <w:rsid w:val="004527B5"/>
    <w:rsid w:val="004C4C48"/>
    <w:rsid w:val="004D15ED"/>
    <w:rsid w:val="004E6AC9"/>
    <w:rsid w:val="00500349"/>
    <w:rsid w:val="00513184"/>
    <w:rsid w:val="00514C45"/>
    <w:rsid w:val="005251A6"/>
    <w:rsid w:val="00525A67"/>
    <w:rsid w:val="005542D4"/>
    <w:rsid w:val="0057153F"/>
    <w:rsid w:val="005861D0"/>
    <w:rsid w:val="005931DB"/>
    <w:rsid w:val="005A3BE4"/>
    <w:rsid w:val="005A73D8"/>
    <w:rsid w:val="005B2783"/>
    <w:rsid w:val="005B7438"/>
    <w:rsid w:val="005D5252"/>
    <w:rsid w:val="00671130"/>
    <w:rsid w:val="00674AAA"/>
    <w:rsid w:val="006B1BDD"/>
    <w:rsid w:val="006C43AB"/>
    <w:rsid w:val="006C7AB8"/>
    <w:rsid w:val="006D200F"/>
    <w:rsid w:val="006E0116"/>
    <w:rsid w:val="00705A21"/>
    <w:rsid w:val="00712CBA"/>
    <w:rsid w:val="00766206"/>
    <w:rsid w:val="00776F90"/>
    <w:rsid w:val="007B01DA"/>
    <w:rsid w:val="007C011C"/>
    <w:rsid w:val="007C122A"/>
    <w:rsid w:val="007E0585"/>
    <w:rsid w:val="007E4D0F"/>
    <w:rsid w:val="007E5112"/>
    <w:rsid w:val="00802DFC"/>
    <w:rsid w:val="008176CA"/>
    <w:rsid w:val="00817AD6"/>
    <w:rsid w:val="0084595C"/>
    <w:rsid w:val="00861436"/>
    <w:rsid w:val="008623B1"/>
    <w:rsid w:val="008641AF"/>
    <w:rsid w:val="00875EE1"/>
    <w:rsid w:val="00884EAC"/>
    <w:rsid w:val="00896E03"/>
    <w:rsid w:val="008C615A"/>
    <w:rsid w:val="008F64ED"/>
    <w:rsid w:val="008F6D35"/>
    <w:rsid w:val="009169AA"/>
    <w:rsid w:val="009535EC"/>
    <w:rsid w:val="00962373"/>
    <w:rsid w:val="009748C3"/>
    <w:rsid w:val="009A523C"/>
    <w:rsid w:val="009A711F"/>
    <w:rsid w:val="009B6888"/>
    <w:rsid w:val="009C342C"/>
    <w:rsid w:val="009C72F0"/>
    <w:rsid w:val="009D50E3"/>
    <w:rsid w:val="009F354F"/>
    <w:rsid w:val="00A126A9"/>
    <w:rsid w:val="00A45D68"/>
    <w:rsid w:val="00A7391A"/>
    <w:rsid w:val="00A75D40"/>
    <w:rsid w:val="00A960FE"/>
    <w:rsid w:val="00AA53A6"/>
    <w:rsid w:val="00AB1FD1"/>
    <w:rsid w:val="00AB3E90"/>
    <w:rsid w:val="00AD37DF"/>
    <w:rsid w:val="00AD3DA6"/>
    <w:rsid w:val="00AD7A28"/>
    <w:rsid w:val="00B11EA3"/>
    <w:rsid w:val="00B13008"/>
    <w:rsid w:val="00B15B69"/>
    <w:rsid w:val="00B67DCC"/>
    <w:rsid w:val="00B71A13"/>
    <w:rsid w:val="00B81049"/>
    <w:rsid w:val="00B9652B"/>
    <w:rsid w:val="00B96548"/>
    <w:rsid w:val="00BC08C1"/>
    <w:rsid w:val="00C114F9"/>
    <w:rsid w:val="00C2378D"/>
    <w:rsid w:val="00C4683C"/>
    <w:rsid w:val="00C51362"/>
    <w:rsid w:val="00C6066B"/>
    <w:rsid w:val="00C80649"/>
    <w:rsid w:val="00CA3006"/>
    <w:rsid w:val="00CB0DBE"/>
    <w:rsid w:val="00CC5757"/>
    <w:rsid w:val="00CF5441"/>
    <w:rsid w:val="00D03CB9"/>
    <w:rsid w:val="00D13D3E"/>
    <w:rsid w:val="00D402C3"/>
    <w:rsid w:val="00D5077E"/>
    <w:rsid w:val="00D543B4"/>
    <w:rsid w:val="00D80C6D"/>
    <w:rsid w:val="00D83191"/>
    <w:rsid w:val="00DB573A"/>
    <w:rsid w:val="00E07281"/>
    <w:rsid w:val="00E6180A"/>
    <w:rsid w:val="00EB07E1"/>
    <w:rsid w:val="00EC6E39"/>
    <w:rsid w:val="00EC6EC7"/>
    <w:rsid w:val="00ED3A93"/>
    <w:rsid w:val="00F15ECE"/>
    <w:rsid w:val="00F25874"/>
    <w:rsid w:val="00F641E0"/>
    <w:rsid w:val="00F75CDE"/>
    <w:rsid w:val="00F77878"/>
    <w:rsid w:val="00F975C9"/>
    <w:rsid w:val="00FA5BC1"/>
    <w:rsid w:val="00FB4494"/>
    <w:rsid w:val="00FD722F"/>
    <w:rsid w:val="00FF3241"/>
    <w:rsid w:val="00FF3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44EE6F"/>
  <w15:chartTrackingRefBased/>
  <w15:docId w15:val="{802BD9B8-45AD-4F82-8B43-5E7DB8F42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lang w:val="nl-NL" w:eastAsia="nl-NL" w:bidi="ar-SA"/>
      </w:rPr>
    </w:rPrDefault>
    <w:pPrDefault/>
  </w:docDefaults>
  <w:latentStyles w:defLockedState="0" w:defUIPriority="0" w:defSemiHidden="0" w:defUnhideWhenUsed="0" w:defQFormat="0" w:count="371">
    <w:lsdException w:name="Normal"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616E8"/>
    <w:rPr>
      <w:sz w:val="22"/>
    </w:rPr>
  </w:style>
  <w:style w:type="paragraph" w:styleId="Kop1">
    <w:name w:val="heading 1"/>
    <w:basedOn w:val="Standaard"/>
    <w:next w:val="Standaard"/>
    <w:autoRedefine/>
    <w:rsid w:val="00D83191"/>
    <w:pPr>
      <w:keepNext/>
      <w:outlineLvl w:val="0"/>
    </w:pPr>
    <w:rPr>
      <w:b/>
      <w:sz w:val="20"/>
    </w:rPr>
  </w:style>
  <w:style w:type="paragraph" w:styleId="Kop2">
    <w:name w:val="heading 2"/>
    <w:basedOn w:val="Standaard"/>
    <w:next w:val="Standaard"/>
    <w:autoRedefine/>
    <w:rsid w:val="00D83191"/>
    <w:pPr>
      <w:keepNext/>
      <w:outlineLvl w:val="1"/>
    </w:pPr>
    <w:rPr>
      <w:b/>
      <w:i/>
      <w:caps/>
      <w:sz w:val="20"/>
    </w:rPr>
  </w:style>
  <w:style w:type="paragraph" w:styleId="Kop3">
    <w:name w:val="heading 3"/>
    <w:basedOn w:val="Standaard"/>
    <w:next w:val="Standaard"/>
    <w:autoRedefine/>
    <w:rsid w:val="00D83191"/>
    <w:pPr>
      <w:keepNext/>
      <w:spacing w:before="240" w:after="60"/>
      <w:outlineLvl w:val="2"/>
    </w:pPr>
    <w:rPr>
      <w:b/>
      <w:bCs/>
      <w:sz w:val="24"/>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D83191"/>
    <w:pPr>
      <w:tabs>
        <w:tab w:val="center" w:pos="4536"/>
        <w:tab w:val="right" w:pos="9072"/>
      </w:tabs>
    </w:pPr>
    <w:rPr>
      <w:sz w:val="18"/>
    </w:rPr>
  </w:style>
  <w:style w:type="paragraph" w:styleId="Voettekst">
    <w:name w:val="footer"/>
    <w:basedOn w:val="Standaard"/>
    <w:autoRedefine/>
    <w:rsid w:val="00FD722F"/>
    <w:pPr>
      <w:tabs>
        <w:tab w:val="center" w:pos="4536"/>
        <w:tab w:val="right" w:pos="9072"/>
      </w:tabs>
    </w:pPr>
    <w:rPr>
      <w:sz w:val="18"/>
    </w:rPr>
  </w:style>
  <w:style w:type="character" w:customStyle="1" w:styleId="KoptekstChar">
    <w:name w:val="Koptekst Char"/>
    <w:link w:val="Koptekst"/>
    <w:uiPriority w:val="99"/>
    <w:rsid w:val="00D83191"/>
    <w:rPr>
      <w:sz w:val="18"/>
    </w:rPr>
  </w:style>
  <w:style w:type="paragraph" w:styleId="Titel">
    <w:name w:val="Title"/>
    <w:basedOn w:val="Standaard"/>
    <w:next w:val="Standaard"/>
    <w:link w:val="TitelChar"/>
    <w:autoRedefine/>
    <w:qFormat/>
    <w:rsid w:val="005931DB"/>
    <w:pPr>
      <w:spacing w:before="240" w:after="60" w:line="240" w:lineRule="exact"/>
      <w:outlineLvl w:val="0"/>
    </w:pPr>
    <w:rPr>
      <w:rFonts w:cs="Times New Roman"/>
      <w:b/>
      <w:bCs/>
      <w:kern w:val="28"/>
      <w:sz w:val="32"/>
      <w:szCs w:val="32"/>
    </w:rPr>
  </w:style>
  <w:style w:type="character" w:customStyle="1" w:styleId="TitelChar">
    <w:name w:val="Titel Char"/>
    <w:link w:val="Titel"/>
    <w:rsid w:val="005931DB"/>
    <w:rPr>
      <w:rFonts w:eastAsia="Times New Roman" w:cs="Times New Roman"/>
      <w:b/>
      <w:bCs/>
      <w:kern w:val="28"/>
      <w:sz w:val="32"/>
      <w:szCs w:val="32"/>
    </w:rPr>
  </w:style>
  <w:style w:type="paragraph" w:styleId="Ondertitel">
    <w:name w:val="Subtitle"/>
    <w:basedOn w:val="Standaard"/>
    <w:next w:val="Standaard"/>
    <w:link w:val="OndertitelChar"/>
    <w:qFormat/>
    <w:rsid w:val="005931DB"/>
    <w:pPr>
      <w:spacing w:after="60" w:line="240" w:lineRule="exact"/>
      <w:outlineLvl w:val="1"/>
    </w:pPr>
    <w:rPr>
      <w:rFonts w:cs="Times New Roman"/>
      <w:sz w:val="24"/>
      <w:szCs w:val="24"/>
    </w:rPr>
  </w:style>
  <w:style w:type="character" w:customStyle="1" w:styleId="OndertitelChar">
    <w:name w:val="Ondertitel Char"/>
    <w:link w:val="Ondertitel"/>
    <w:rsid w:val="005931DB"/>
    <w:rPr>
      <w:rFonts w:eastAsia="Times New Roman" w:cs="Times New Roman"/>
      <w:sz w:val="24"/>
      <w:szCs w:val="24"/>
    </w:rPr>
  </w:style>
  <w:style w:type="paragraph" w:styleId="Geenafstand">
    <w:name w:val="No Spacing"/>
    <w:aliases w:val="Broodtekst"/>
    <w:uiPriority w:val="1"/>
    <w:qFormat/>
    <w:rsid w:val="005931DB"/>
    <w:rPr>
      <w:szCs w:val="18"/>
    </w:rPr>
  </w:style>
  <w:style w:type="character" w:styleId="Subtielebenadrukking">
    <w:name w:val="Subtle Emphasis"/>
    <w:uiPriority w:val="19"/>
    <w:qFormat/>
    <w:rsid w:val="005931DB"/>
    <w:rPr>
      <w:rFonts w:ascii="Arial" w:hAnsi="Arial"/>
      <w:b w:val="0"/>
      <w:i/>
      <w:iCs/>
      <w:color w:val="E36C0A"/>
      <w:sz w:val="20"/>
    </w:rPr>
  </w:style>
  <w:style w:type="character" w:styleId="Intensievebenadrukking">
    <w:name w:val="Intense Emphasis"/>
    <w:uiPriority w:val="21"/>
    <w:qFormat/>
    <w:rsid w:val="005931DB"/>
    <w:rPr>
      <w:b/>
      <w:bCs/>
      <w:i/>
      <w:iCs/>
      <w:color w:val="E36C0A"/>
    </w:rPr>
  </w:style>
  <w:style w:type="table" w:styleId="Tabelraster">
    <w:name w:val="Table Grid"/>
    <w:basedOn w:val="Standaardtabel"/>
    <w:rsid w:val="00B810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9pt">
    <w:name w:val="Stijl 9 pt"/>
    <w:rsid w:val="00D83191"/>
    <w:rPr>
      <w:rFonts w:ascii="Arial" w:hAnsi="Arial"/>
      <w:sz w:val="16"/>
    </w:rPr>
  </w:style>
  <w:style w:type="character" w:customStyle="1" w:styleId="Stijl10pt">
    <w:name w:val="Stijl 10 pt"/>
    <w:rsid w:val="00D83191"/>
    <w:rPr>
      <w:rFonts w:ascii="Arial" w:hAnsi="Arial"/>
      <w:sz w:val="20"/>
    </w:rPr>
  </w:style>
  <w:style w:type="paragraph" w:styleId="Voetnoottekst">
    <w:name w:val="footnote text"/>
    <w:basedOn w:val="Standaard"/>
    <w:link w:val="VoetnoottekstChar"/>
    <w:rsid w:val="00096B76"/>
    <w:rPr>
      <w:sz w:val="20"/>
    </w:rPr>
  </w:style>
  <w:style w:type="character" w:customStyle="1" w:styleId="VoetnoottekstChar">
    <w:name w:val="Voetnoottekst Char"/>
    <w:basedOn w:val="Standaardalinea-lettertype"/>
    <w:link w:val="Voetnoottekst"/>
    <w:rsid w:val="00096B76"/>
  </w:style>
  <w:style w:type="character" w:styleId="Voetnootmarkering">
    <w:name w:val="footnote reference"/>
    <w:basedOn w:val="Standaardalinea-lettertype"/>
    <w:rsid w:val="00096B76"/>
    <w:rPr>
      <w:vertAlign w:val="superscript"/>
    </w:rPr>
  </w:style>
  <w:style w:type="character" w:styleId="Titelvanboek">
    <w:name w:val="Book Title"/>
    <w:basedOn w:val="Standaardalinea-lettertype"/>
    <w:uiPriority w:val="33"/>
    <w:qFormat/>
    <w:rsid w:val="003F48B5"/>
    <w:rPr>
      <w:b/>
      <w:bCs/>
      <w:i/>
      <w:iCs/>
      <w:spacing w:val="5"/>
    </w:rPr>
  </w:style>
  <w:style w:type="character" w:styleId="Verwijzingopmerking">
    <w:name w:val="annotation reference"/>
    <w:basedOn w:val="Standaardalinea-lettertype"/>
    <w:uiPriority w:val="99"/>
    <w:rsid w:val="00EC6EC7"/>
    <w:rPr>
      <w:sz w:val="16"/>
      <w:szCs w:val="16"/>
    </w:rPr>
  </w:style>
  <w:style w:type="paragraph" w:styleId="Tekstopmerking">
    <w:name w:val="annotation text"/>
    <w:basedOn w:val="Standaard"/>
    <w:link w:val="TekstopmerkingChar"/>
    <w:uiPriority w:val="99"/>
    <w:rsid w:val="00EC6EC7"/>
    <w:rPr>
      <w:sz w:val="20"/>
    </w:rPr>
  </w:style>
  <w:style w:type="character" w:customStyle="1" w:styleId="TekstopmerkingChar">
    <w:name w:val="Tekst opmerking Char"/>
    <w:basedOn w:val="Standaardalinea-lettertype"/>
    <w:link w:val="Tekstopmerking"/>
    <w:uiPriority w:val="99"/>
    <w:rsid w:val="00EC6EC7"/>
  </w:style>
  <w:style w:type="paragraph" w:styleId="Onderwerpvanopmerking">
    <w:name w:val="annotation subject"/>
    <w:basedOn w:val="Tekstopmerking"/>
    <w:next w:val="Tekstopmerking"/>
    <w:link w:val="OnderwerpvanopmerkingChar"/>
    <w:rsid w:val="00EC6EC7"/>
    <w:rPr>
      <w:b/>
      <w:bCs/>
    </w:rPr>
  </w:style>
  <w:style w:type="character" w:customStyle="1" w:styleId="OnderwerpvanopmerkingChar">
    <w:name w:val="Onderwerp van opmerking Char"/>
    <w:basedOn w:val="TekstopmerkingChar"/>
    <w:link w:val="Onderwerpvanopmerking"/>
    <w:rsid w:val="00EC6EC7"/>
    <w:rPr>
      <w:b/>
      <w:bCs/>
    </w:rPr>
  </w:style>
  <w:style w:type="paragraph" w:styleId="Ballontekst">
    <w:name w:val="Balloon Text"/>
    <w:basedOn w:val="Standaard"/>
    <w:link w:val="BallontekstChar"/>
    <w:rsid w:val="00EC6EC7"/>
    <w:rPr>
      <w:rFonts w:ascii="Segoe UI" w:hAnsi="Segoe UI" w:cs="Segoe UI"/>
      <w:sz w:val="18"/>
      <w:szCs w:val="18"/>
    </w:rPr>
  </w:style>
  <w:style w:type="character" w:customStyle="1" w:styleId="BallontekstChar">
    <w:name w:val="Ballontekst Char"/>
    <w:basedOn w:val="Standaardalinea-lettertype"/>
    <w:link w:val="Ballontekst"/>
    <w:rsid w:val="00EC6EC7"/>
    <w:rPr>
      <w:rFonts w:ascii="Segoe UI" w:hAnsi="Segoe UI" w:cs="Segoe UI"/>
      <w:sz w:val="18"/>
      <w:szCs w:val="18"/>
    </w:rPr>
  </w:style>
  <w:style w:type="paragraph" w:styleId="Lijstalinea">
    <w:name w:val="List Paragraph"/>
    <w:basedOn w:val="Standaard"/>
    <w:uiPriority w:val="34"/>
    <w:qFormat/>
    <w:rsid w:val="00D13D3E"/>
    <w:pPr>
      <w:ind w:left="720"/>
      <w:contextualSpacing/>
    </w:pPr>
  </w:style>
  <w:style w:type="character" w:styleId="Hyperlink">
    <w:name w:val="Hyperlink"/>
    <w:basedOn w:val="Standaardalinea-lettertype"/>
    <w:rsid w:val="005251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159717">
      <w:bodyDiv w:val="1"/>
      <w:marLeft w:val="0"/>
      <w:marRight w:val="0"/>
      <w:marTop w:val="0"/>
      <w:marBottom w:val="0"/>
      <w:divBdr>
        <w:top w:val="none" w:sz="0" w:space="0" w:color="auto"/>
        <w:left w:val="none" w:sz="0" w:space="0" w:color="auto"/>
        <w:bottom w:val="none" w:sz="0" w:space="0" w:color="auto"/>
        <w:right w:val="none" w:sz="0" w:space="0" w:color="auto"/>
      </w:divBdr>
      <w:divsChild>
        <w:div w:id="2033528219">
          <w:marLeft w:val="0"/>
          <w:marRight w:val="0"/>
          <w:marTop w:val="0"/>
          <w:marBottom w:val="0"/>
          <w:divBdr>
            <w:top w:val="none" w:sz="0" w:space="0" w:color="auto"/>
            <w:left w:val="none" w:sz="0" w:space="0" w:color="auto"/>
            <w:bottom w:val="none" w:sz="0" w:space="0" w:color="auto"/>
            <w:right w:val="none" w:sz="0" w:space="0" w:color="auto"/>
          </w:divBdr>
          <w:divsChild>
            <w:div w:id="1764569635">
              <w:marLeft w:val="0"/>
              <w:marRight w:val="0"/>
              <w:marTop w:val="0"/>
              <w:marBottom w:val="0"/>
              <w:divBdr>
                <w:top w:val="none" w:sz="0" w:space="0" w:color="auto"/>
                <w:left w:val="none" w:sz="0" w:space="0" w:color="auto"/>
                <w:bottom w:val="none" w:sz="0" w:space="0" w:color="auto"/>
                <w:right w:val="none" w:sz="0" w:space="0" w:color="auto"/>
              </w:divBdr>
              <w:divsChild>
                <w:div w:id="1982808021">
                  <w:marLeft w:val="0"/>
                  <w:marRight w:val="0"/>
                  <w:marTop w:val="0"/>
                  <w:marBottom w:val="0"/>
                  <w:divBdr>
                    <w:top w:val="none" w:sz="0" w:space="0" w:color="auto"/>
                    <w:left w:val="none" w:sz="0" w:space="0" w:color="auto"/>
                    <w:bottom w:val="none" w:sz="0" w:space="0" w:color="auto"/>
                    <w:right w:val="none" w:sz="0" w:space="0" w:color="auto"/>
                  </w:divBdr>
                  <w:divsChild>
                    <w:div w:id="708260273">
                      <w:marLeft w:val="0"/>
                      <w:marRight w:val="0"/>
                      <w:marTop w:val="0"/>
                      <w:marBottom w:val="0"/>
                      <w:divBdr>
                        <w:top w:val="none" w:sz="0" w:space="0" w:color="auto"/>
                        <w:left w:val="none" w:sz="0" w:space="0" w:color="auto"/>
                        <w:bottom w:val="none" w:sz="0" w:space="0" w:color="auto"/>
                        <w:right w:val="none" w:sz="0" w:space="0" w:color="auto"/>
                      </w:divBdr>
                      <w:divsChild>
                        <w:div w:id="60183337">
                          <w:marLeft w:val="0"/>
                          <w:marRight w:val="0"/>
                          <w:marTop w:val="0"/>
                          <w:marBottom w:val="0"/>
                          <w:divBdr>
                            <w:top w:val="none" w:sz="0" w:space="0" w:color="auto"/>
                            <w:left w:val="none" w:sz="0" w:space="0" w:color="auto"/>
                            <w:bottom w:val="none" w:sz="0" w:space="0" w:color="auto"/>
                            <w:right w:val="none" w:sz="0" w:space="0" w:color="auto"/>
                          </w:divBdr>
                        </w:div>
                        <w:div w:id="17167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a.nl/globalassets/stappenplan-meldplicht/index.html?utm_source=link&amp;utm_medium=website&amp;utm_campaign=meldplich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Sjablonen\N%20B%20A\NBA%20Memo.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CE02AD6-C494-4A4A-89D0-4C0F4C4B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NBA Memo</Template>
  <TotalTime>1</TotalTime>
  <Pages>4</Pages>
  <Words>1100</Words>
  <Characters>6051</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Notitie</vt:lpstr>
      <vt:lpstr>Notitie</vt:lpstr>
    </vt:vector>
  </TitlesOfParts>
  <Company>Koninklijk NIVRA</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Notitie</dc:title>
  <dc:subject/>
  <dc:creator>Yvonne Vlasman</dc:creator>
  <cp:keywords/>
  <cp:lastModifiedBy>Hans Prikken</cp:lastModifiedBy>
  <cp:revision>2</cp:revision>
  <cp:lastPrinted>2015-09-02T09:19:00Z</cp:lastPrinted>
  <dcterms:created xsi:type="dcterms:W3CDTF">2019-12-11T14:23:00Z</dcterms:created>
  <dcterms:modified xsi:type="dcterms:W3CDTF">2019-12-11T14:23:00Z</dcterms:modified>
</cp:coreProperties>
</file>